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color w:val="000000"/>
        </w:rPr>
      </w:pPr>
      <w:r>
        <w:rPr>
          <w:color w:val="000000"/>
        </w:rPr>
        <w:t>Title page</w:t>
      </w:r>
    </w:p>
    <w:p>
      <w:pPr>
        <w:pStyle w:val="Heading6"/>
        <w:rPr>
          <w:color w:val="000000"/>
        </w:rPr>
      </w:pPr>
      <w:bookmarkStart w:id="0" w:name="X21c66aa06069f7b01e62b6bc30af88e5eabdad7"/>
      <w:r>
        <w:rPr>
          <w:color w:val="000000"/>
        </w:rPr>
        <w:t>Title: Risk ratio regression - simple concept yet simple computation</w:t>
      </w:r>
      <w:bookmarkEnd w:id="0"/>
    </w:p>
    <w:p>
      <w:pPr>
        <w:pStyle w:val="Heading6"/>
        <w:rPr>
          <w:color w:val="000000"/>
        </w:rPr>
      </w:pPr>
      <w:bookmarkStart w:id="1" w:name="author-frank-popham"/>
      <w:r>
        <w:rPr>
          <w:color w:val="000000"/>
        </w:rPr>
        <w:t>Author: Frank Popham</w:t>
      </w:r>
      <w:bookmarkEnd w:id="1"/>
    </w:p>
    <w:p>
      <w:pPr>
        <w:pStyle w:val="Heading5"/>
        <w:rPr/>
      </w:pPr>
      <w:bookmarkStart w:id="2" w:name="email-frank.pophamprotonmail.com"/>
      <w:r>
        <w:rPr>
          <w:color w:val="000000"/>
        </w:rPr>
        <w:t xml:space="preserve">Email: </w:t>
      </w:r>
      <w:hyperlink r:id="rId2">
        <w:r>
          <w:rPr>
            <w:rStyle w:val="InternetLink"/>
            <w:color w:val="000000"/>
          </w:rPr>
          <w:t>frank.popham@protonmail.com</w:t>
        </w:r>
      </w:hyperlink>
      <w:bookmarkEnd w:id="2"/>
    </w:p>
    <w:p>
      <w:pPr>
        <w:pStyle w:val="Heading5"/>
        <w:rPr>
          <w:color w:val="000000"/>
        </w:rPr>
      </w:pPr>
      <w:bookmarkStart w:id="3" w:name="affiliation-independent-researcher"/>
      <w:r>
        <w:rPr>
          <w:color w:val="000000"/>
        </w:rPr>
        <w:t>Affiliation: Independent Researcher</w:t>
      </w:r>
      <w:bookmarkEnd w:id="3"/>
    </w:p>
    <w:p>
      <w:pPr>
        <w:pStyle w:val="Heading5"/>
        <w:rPr>
          <w:color w:val="000000"/>
        </w:rPr>
      </w:pPr>
      <w:bookmarkStart w:id="4" w:name="address-banchory-scotland"/>
      <w:r>
        <w:rPr>
          <w:color w:val="000000"/>
        </w:rPr>
        <w:t>Address: Banchory, Scotland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FirstParagraph"/>
        <w:rPr/>
      </w:pPr>
      <w:r>
        <w:rPr/>
        <w:t>Dear Editors,</w:t>
      </w:r>
    </w:p>
    <w:p>
      <w:pPr>
        <w:pStyle w:val="TextBody"/>
        <w:rPr/>
      </w:pPr>
      <w:r>
        <w:rPr/>
        <w:t>A new IJE paper states in its title that “Risk ratio regression - simple concept yet complex computation”</w:t>
      </w:r>
      <w:r>
        <w:rPr>
          <w:vertAlign w:val="superscript"/>
        </w:rPr>
        <w:t>1</w:t>
      </w:r>
      <w:r>
        <w:rPr/>
        <w:t>. This is only true if one wants to read the risk ratio directly from the coefficients of your model. Given a binary outcome and binary exposure as in the aforementioned paper, a logistic regression is the “natural” choice. While its coefficients will be (log) odds ratios, it is simple to derive a number of other effect measures including the risk ratio. This can be done easily using modern software such as R (see the Supplementary file for accompanying code).</w:t>
      </w:r>
    </w:p>
    <w:p>
      <w:pPr>
        <w:pStyle w:val="TextBody"/>
        <w:rPr/>
      </w:pPr>
      <w:r>
        <w:rPr/>
        <w:t>In the paper under discussion the risk of weight gain relative to quitting smoking or not was studied. Using standardization (g formula)</w:t>
      </w:r>
      <w:r>
        <w:rPr>
          <w:vertAlign w:val="superscript"/>
        </w:rPr>
        <w:t>2</w:t>
      </w:r>
      <w:r>
        <w:rPr/>
        <w:t>, I easily estimate a risk ratio. The three stage method is simple,</w:t>
      </w:r>
    </w:p>
    <w:p>
      <w:pPr>
        <w:pStyle w:val="TextBody"/>
        <w:rPr/>
      </w:pPr>
      <w:r>
        <w:rPr/>
        <w:t>Stage 1) fit the model of outcome by exposure and confounders using a logistic regression model.</w:t>
      </w:r>
    </w:p>
    <w:p>
      <w:pPr>
        <w:pStyle w:val="TextBody"/>
        <w:rPr/>
      </w:pPr>
      <w:r>
        <w:rPr/>
        <w:t>Stage 2) from this model predict for each person the probability of the outcome treating everyone as exposed (E) and then everyone as not exposed (NE) (everyone quit or no-one quit in our example).</w:t>
      </w:r>
    </w:p>
    <w:p>
      <w:pPr>
        <w:pStyle w:val="TextBody"/>
        <w:rPr/>
      </w:pPr>
      <w:r>
        <w:rPr/>
        <w:t>Stage 3) Average these probabilities for each of the two scenarios. We can then compare these two average predictions to obtain an absolute difference (E-NE), the risk ratio (E/NE), or the odds ratio (E/(1-E)) / (NE/(1-NE)). See Table 1.</w:t>
      </w:r>
    </w:p>
    <w:p>
      <w:pPr>
        <w:pStyle w:val="TextBody"/>
        <w:rPr/>
      </w:pPr>
      <w:r>
        <w:rPr/>
        <w:t>The first stage retains the advantages of a logistic model for a binary exposure in that the model usually converges and predicted probabilities will be in the range of 0 to 1. The second and third stage avoid non-collapsibility as we predict probabilities (collapsible) rather than odds (non-collapsible) before averaging across the strata from the stage 1 model.</w:t>
      </w:r>
    </w:p>
    <w:p>
      <w:pPr>
        <w:pStyle w:val="TextBody"/>
        <w:rPr/>
      </w:pPr>
      <w:r>
        <w:rPr/>
        <w:t>It should be noted that the odds ratio from the stage 1 model (1.84) is not the same as in Table 1 as the former is a conditional odds ratio while the latter (and all effects in Table 1) are marginal. We can use standardization to obtain the odds ratio from the stage 1 model by predicting the log odds at stage 2 rather than the probability and modifying the calculations at stage 3 to work with log odds.</w:t>
      </w:r>
    </w:p>
    <w:p>
      <w:pPr>
        <w:pStyle w:val="TextBody"/>
        <w:rPr/>
      </w:pPr>
      <w:r>
        <w:rPr/>
        <w:t>In conclusion a summary risk ratio is easily obtainable from a logistic regression. Being clear about whether we are reporting marginal and conditional estimates is another important consideration and authors should be explicit about the effect measure reported.</w:t>
      </w:r>
    </w:p>
    <w:p>
      <w:pPr>
        <w:pStyle w:val="TextBody"/>
        <w:rPr/>
      </w:pPr>
      <w:r>
        <w:rPr/>
        <w:t>Best wishes,</w:t>
      </w:r>
    </w:p>
    <w:p>
      <w:pPr>
        <w:pStyle w:val="TextBody"/>
        <w:rPr/>
      </w:pPr>
      <w:bookmarkStart w:id="5" w:name="address-banchory-scotland"/>
      <w:r>
        <w:rPr/>
        <w:t>Frank Popham</w:t>
      </w:r>
      <w:bookmarkEnd w:id="5"/>
    </w:p>
    <w:p>
      <w:pPr>
        <w:pStyle w:val="Heading5"/>
        <w:rPr>
          <w:i/>
          <w:i/>
          <w:iCs/>
          <w:color w:val="000000"/>
        </w:rPr>
      </w:pPr>
      <w:bookmarkStart w:id="6" w:name="supplementary-data"/>
      <w:r>
        <w:rPr>
          <w:i/>
          <w:iCs/>
          <w:color w:val="000000"/>
        </w:rPr>
        <w:t>Supplementary data</w:t>
      </w:r>
    </w:p>
    <w:p>
      <w:pPr>
        <w:pStyle w:val="FirstParagraph"/>
        <w:rPr>
          <w:color w:val="000000"/>
        </w:rPr>
      </w:pPr>
      <w:bookmarkStart w:id="7" w:name="supplementary-data"/>
      <w:r>
        <w:rPr>
          <w:color w:val="000000"/>
        </w:rPr>
        <w:t>Supplementary data are available at IJE online.</w:t>
      </w:r>
      <w:bookmarkEnd w:id="7"/>
    </w:p>
    <w:p>
      <w:pPr>
        <w:pStyle w:val="Heading5"/>
        <w:rPr>
          <w:i/>
          <w:i/>
          <w:iCs/>
          <w:color w:val="000000"/>
        </w:rPr>
      </w:pPr>
      <w:bookmarkStart w:id="8" w:name="funding"/>
      <w:r>
        <w:rPr>
          <w:i/>
          <w:iCs/>
          <w:color w:val="000000"/>
        </w:rPr>
        <w:t>Funding</w:t>
      </w:r>
    </w:p>
    <w:p>
      <w:pPr>
        <w:pStyle w:val="FirstParagraph"/>
        <w:rPr>
          <w:color w:val="000000"/>
        </w:rPr>
      </w:pPr>
      <w:bookmarkStart w:id="9" w:name="funding"/>
      <w:r>
        <w:rPr>
          <w:color w:val="000000"/>
        </w:rPr>
        <w:t>None</w:t>
      </w:r>
      <w:bookmarkEnd w:id="9"/>
    </w:p>
    <w:p>
      <w:pPr>
        <w:pStyle w:val="Heading5"/>
        <w:rPr>
          <w:i/>
          <w:i/>
          <w:iCs/>
          <w:color w:val="000000"/>
        </w:rPr>
      </w:pPr>
      <w:bookmarkStart w:id="10" w:name="acknowledgements"/>
      <w:r>
        <w:rPr>
          <w:i/>
          <w:iCs/>
          <w:color w:val="000000"/>
        </w:rPr>
        <w:t>Acknowledg</w:t>
      </w:r>
      <w:r>
        <w:rPr>
          <w:i/>
          <w:iCs/>
          <w:color w:val="000000"/>
        </w:rPr>
        <w:t>e</w:t>
      </w:r>
      <w:r>
        <w:rPr>
          <w:i/>
          <w:iCs/>
          <w:color w:val="000000"/>
        </w:rPr>
        <w:t>ments</w:t>
      </w:r>
    </w:p>
    <w:p>
      <w:pPr>
        <w:pStyle w:val="FirstParagraph"/>
        <w:rPr>
          <w:color w:val="000000"/>
        </w:rPr>
      </w:pPr>
      <w:bookmarkStart w:id="11" w:name="acknowledgements"/>
      <w:r>
        <w:rPr>
          <w:color w:val="000000"/>
        </w:rPr>
        <w:t>None</w:t>
      </w:r>
      <w:bookmarkEnd w:id="11"/>
    </w:p>
    <w:p>
      <w:pPr>
        <w:pStyle w:val="Heading5"/>
        <w:rPr>
          <w:i/>
          <w:i/>
          <w:iCs/>
          <w:color w:val="000000"/>
        </w:rPr>
      </w:pPr>
      <w:bookmarkStart w:id="12" w:name="conflict-of-interest"/>
      <w:r>
        <w:rPr>
          <w:i/>
          <w:iCs/>
          <w:color w:val="000000"/>
        </w:rPr>
        <w:t>Conflict of interest</w:t>
      </w:r>
    </w:p>
    <w:p>
      <w:pPr>
        <w:pStyle w:val="FirstParagraph"/>
        <w:rPr>
          <w:color w:val="000000"/>
        </w:rPr>
      </w:pPr>
      <w:bookmarkStart w:id="13" w:name="conflict-of-interest"/>
      <w:r>
        <w:rPr>
          <w:color w:val="000000"/>
        </w:rPr>
        <w:t>None declared</w:t>
      </w:r>
      <w:bookmarkEnd w:id="13"/>
    </w:p>
    <w:p>
      <w:pPr>
        <w:pStyle w:val="Heading4"/>
        <w:rPr>
          <w:color w:val="000000"/>
        </w:rPr>
      </w:pPr>
      <w:bookmarkStart w:id="14" w:name="references"/>
      <w:r>
        <w:rPr>
          <w:color w:val="000000"/>
        </w:rPr>
        <w:t>References</w:t>
      </w:r>
    </w:p>
    <w:p>
      <w:pPr>
        <w:pStyle w:val="TextBody"/>
        <w:rPr/>
      </w:pPr>
      <w:r>
        <w:rPr/>
      </w:r>
    </w:p>
    <w:p>
      <w:pPr>
        <w:pStyle w:val="Bibliography"/>
        <w:rPr/>
      </w:pPr>
      <w:bookmarkStart w:id="15" w:name="refs"/>
      <w:bookmarkStart w:id="16" w:name="ref-mittinty2022"/>
      <w:r>
        <w:rPr/>
        <w:t xml:space="preserve">1. </w:t>
        <w:tab/>
        <w:t xml:space="preserve">Mittinty MN, Lynch J. </w:t>
      </w:r>
      <w:hyperlink r:id="rId3">
        <w:r>
          <w:rPr>
            <w:rStyle w:val="InternetLink"/>
            <w:color w:val="000000"/>
          </w:rPr>
          <w:t>Reflection on modern methods: risk ratio regression—simple concept yet complex computation</w:t>
        </w:r>
      </w:hyperlink>
      <w:r>
        <w:rPr>
          <w:color w:val="000000"/>
        </w:rPr>
        <w:t>.</w:t>
      </w:r>
      <w:r>
        <w:rPr/>
        <w:t xml:space="preserve"> Int J Epidemiol 2023 Nov;</w:t>
      </w:r>
      <w:r>
        <w:rPr>
          <w:b/>
          <w:bCs/>
        </w:rPr>
        <w:t>52</w:t>
      </w:r>
      <w:r>
        <w:rPr/>
        <w:t xml:space="preserve">(1):309–314. </w:t>
      </w:r>
      <w:bookmarkEnd w:id="16"/>
    </w:p>
    <w:p>
      <w:pPr>
        <w:pStyle w:val="Bibliography"/>
        <w:spacing w:before="0" w:after="200"/>
        <w:rPr/>
      </w:pPr>
      <w:bookmarkStart w:id="17" w:name="references"/>
      <w:bookmarkStart w:id="18" w:name="refs"/>
      <w:bookmarkStart w:id="19" w:name="ref-hernan2020"/>
      <w:r>
        <w:rPr/>
        <w:t xml:space="preserve">2. </w:t>
        <w:tab/>
        <w:t xml:space="preserve">Hernan MA, Robins JM. Causal inference: What if. Boca Raton: Chapman &amp; Hall/CRC Press; 2020. </w:t>
      </w:r>
      <w:bookmarkEnd w:id="17"/>
      <w:bookmarkEnd w:id="18"/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rank.popham@protonmail.com" TargetMode="External"/><Relationship Id="rId3" Type="http://schemas.openxmlformats.org/officeDocument/2006/relationships/hyperlink" Target="https://doi.org/10.1093/ije/dyac2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3</Pages>
  <Words>482</Words>
  <Characters>2505</Characters>
  <CharactersWithSpaces>2961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2023-05-09T12:38:59Z</dcterms:created>
  <dc:creator/>
  <dc:description/>
  <dc:language>en-GB</dc:language>
  <cp:lastModifiedBy/>
  <dcterms:modified xsi:type="dcterms:W3CDTF">2023-05-09T13:49:17Z</dcterms:modified>
  <cp:revision>2</cp:revision>
  <dc:subject/>
  <dc:title>Title page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ije.csl</vt:lpwstr>
  </property>
  <property fmtid="{D5CDD505-2E9C-101B-9397-08002B2CF9AE}" pid="4" name="output">
    <vt:lpwstr/>
  </property>
</Properties>
</file>