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837B2">
      <w:pPr>
        <w:pStyle w:val="2"/>
        <w:spacing w:before="480" w:after="12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>分切工序智能化改造</w:t>
      </w:r>
    </w:p>
    <w:p w14:paraId="44972F4F">
      <w:pPr>
        <w:pStyle w:val="2"/>
        <w:spacing w:before="48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>第一部分：现状描述与改造建议</w:t>
      </w:r>
    </w:p>
    <w:p w14:paraId="1344983D">
      <w:pPr>
        <w:pStyle w:val="3"/>
        <w:spacing w:before="3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1、分切至精切、包装工序智能化</w:t>
      </w:r>
    </w:p>
    <w:p w14:paraId="1DFEA80E">
      <w:pPr>
        <w:spacing w:before="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现状：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
分切工序根据计划安排，将所需物料进行分切，当班质检、小组长根据针检、标检及离线板型信息填写手抄版报表，母卷、精切料卷判定合格的可转至下道工序，权限范围外的需待次日质量工程进行评审，该料卷暂放至现场，次日下午方可将手抄报表输入至局域网中，计划人员根据母卷、精切料评审信息及客户订单进行匹配订单，精切工序根据计划进行找料进行电晕、精切生产。
上述流程中，存在评审滞后、计划滞后、采集数据（针检、表检、离线板型、下料查料）不集中、物料堆积、找料和挑料困难、物料转运、上下料辅助时间长等问题。</w:t>
      </w:r>
    </w:p>
    <w:p w14:paraId="6F100165">
      <w:pPr>
        <w:spacing w:before="0" w:after="12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建议：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
</w:t>
      </w:r>
    </w:p>
    <w:p w14:paraId="7BC71490">
      <w:pPr>
        <w:spacing w:before="0" w:after="12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（1）分切工序下料后将料卷信息、针检、标检、离线板型数据进行收集至智能管理系统中，并根据采集数据自动选择性排产；
</w:t>
      </w:r>
    </w:p>
    <w:p w14:paraId="62E2AEF7">
      <w:pPr>
        <w:spacing w:before="0" w:after="12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（2）因分切产能高于精切工序，物料堆放场地受限、堆积较高不便挑料且存在安全隐患，可将分切下料转运至智能高架仓库；
</w:t>
      </w:r>
    </w:p>
    <w:p w14:paraId="73EA23E8">
      <w:pPr>
        <w:spacing w:before="0" w:after="12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（3）根据精切订单指令在高架库进行自动选料，通过 AGV 运送至电晕机入口完成自动上料，根据来料宽度、电晕宽度完成自动调刀、自动上卷取轴、卸料等动作，减少人工辅助时间及安全风险（前期出现掉轴、砸脚等事故）；
</w:t>
      </w:r>
    </w:p>
    <w:p w14:paraId="4F65CAF0">
      <w:pPr>
        <w:spacing w:before="0" w:after="12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（4）精切生产后的数据也收集至智能管理系统中，便于追溯及包装工序匹配木箱使用（目前通过人工手抄精切信息进行匹配木箱，且来料信息错误率较高）；
</w:t>
      </w:r>
    </w:p>
    <w:p w14:paraId="481617F0">
      <w:pPr>
        <w:spacing w:before="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（5）精切下料后，通过 AGV 等运输工具运至包装区域，因包装工序有滞后性（无夜班），可在包装前也建立高架库，将待包装的母卷、精切料暂存，根据木箱、订单从高架库中取料，完成自动包装或人工包装。</w:t>
      </w:r>
    </w:p>
    <w:p w14:paraId="1991D51D">
      <w:pPr>
        <w:pStyle w:val="3"/>
        <w:spacing w:before="3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2、高架库</w:t>
      </w:r>
    </w:p>
    <w:p w14:paraId="7D06A291">
      <w:pPr>
        <w:spacing w:before="0" w:after="12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上述中部分内容已阐述高架库，在此重点说明：</w:t>
      </w:r>
    </w:p>
    <w:p w14:paraId="2A2E1164">
      <w:pPr>
        <w:spacing w:before="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1、分切后物料：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
目前分切工序下料后，合格母卷转包装，不合格母卷及精切料暂放现场待排产，因精切工序消耗能力小于分切工序，势必造成物料积压现场，造成找、挑料困难，挑选后合并料框费时费力、工作重复性徒劳无功，且人员吊卷爬上爬下、挂吊带存在诸多安全风险。</w:t>
      </w:r>
    </w:p>
    <w:p w14:paraId="7A250D21">
      <w:pPr>
        <w:spacing w:before="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2、精切后成品：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
精切工序生产后的合格料卷需转运至包装区域，转运过程效率低且存在碰伤、擦划伤风险（AGV 驮料转运至包装现场，还需人工取穿料棒插入管芯中，在操作行车将物料吊运至料框中暂放）。因包装滞后性造成母卷、精切料堆积现场（根据市场行情，后续电池箔也会加大投量），在包装吊运料卷时存在效率低、碰伤、现场不规整、掉卷等诸多弊端。</w:t>
      </w:r>
    </w:p>
    <w:p w14:paraId="361AF5E7">
      <w:pPr>
        <w:spacing w:before="0" w:after="12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3、包装后成品：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
</w:t>
      </w:r>
    </w:p>
    <w:p w14:paraId="43040702">
      <w:pPr>
        <w:spacing w:before="0" w:after="12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（1）每日包装后约 300 吨木箱成品，需暂放至包装现场，待次日叉车工将包装区域具备入库条件的物料从待入库区叉运入库，在此过程中包装区域的叉车与成品库叉车交叉作业，存在安全风险，且因物料堆放造成现场混乱。
</w:t>
      </w:r>
    </w:p>
    <w:p w14:paraId="69253742">
      <w:pPr>
        <w:spacing w:before="0" w:after="120"/>
        <w:jc w:val="left"/>
      </w:pP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（2）入库后的成品根据库位，叉车叉运至相关区域进行堆放，最多可堆垛 4 层，待发货时使用叉车一一挑选，若发货物料在最里端，需将外侧木箱一一叉出后方可叉出所需物料，然后在将不需物料在一一叉入重新规整摆放。以上不仅存在占地面积较大（一期仓库面积为 3300㎡，二期仓库面积为 2500㎡）、人员成本高、配货效率低、影响发运时间等诸多不利因素。</w:t>
      </w:r>
    </w:p>
    <w:p w14:paraId="6B4064DD">
      <w:pPr>
        <w:spacing w:before="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总结性规划建议：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
如三期项目批准在商丘铝箔厂 4#路北预留地建设，项目用地建设规划中包含铝箔轧机、分切机、电晕机、精切机，包装区域等，以上暂放料势必增加暂存空间，造成空间浪费、物流不畅，建议分切后暂放料区域、精切成品至包装区域及成品库区域设计高架库，且每个工段均具备智能自动出入库功能，以此提高智能化水平。
此建议暂未有案例，建议先进行设计调研、考察，结合现场实际工况拿出最终方案。</w:t>
      </w:r>
    </w:p>
    <w:p w14:paraId="6FFDA95A">
      <w:pPr>
        <w:pStyle w:val="2"/>
        <w:spacing w:before="48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>第二部分：现状流程详述</w:t>
      </w:r>
    </w:p>
    <w:p w14:paraId="7D6B782C">
      <w:pPr>
        <w:pStyle w:val="4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一、 初始加工阶段</w:t>
      </w:r>
    </w:p>
    <w:p w14:paraId="29216E39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轧机来料：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流程起点为轧机完成后的原始铝箔物料。</w:t>
      </w:r>
    </w:p>
    <w:p w14:paraId="3F0D0161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分切工序：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对来料进行初步分切，此阶段容易产生由于设备或工艺导致的缺陷，如：</w:t>
      </w:r>
    </w:p>
    <w:p w14:paraId="1331E2F9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轧机缺陷：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针孔、压坑、白条、油斑、孔洞、异物、张力线、板形等。</w:t>
      </w:r>
    </w:p>
    <w:p w14:paraId="0AA2DE3C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分切缺陷：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辊印、压坑、麻点、鱼鳞纹、起皱等。</w:t>
      </w:r>
    </w:p>
    <w:p w14:paraId="17521F11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产品分类：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分切后物料分为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电池箔母卷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精切料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两类进入后续质检。</w:t>
      </w:r>
    </w:p>
    <w:p w14:paraId="4C2FEBEA">
      <w:pPr>
        <w:pStyle w:val="4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二、 质量评判与复审流程</w:t>
      </w:r>
    </w:p>
    <w:p w14:paraId="43A735EC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当班初评：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由当班质检人员根据针检、表检、离线板型仪的数据进行初步判定。</w:t>
      </w:r>
    </w:p>
    <w:p w14:paraId="5AC469BD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电池箔母卷判定逻辑：</w:t>
      </w:r>
    </w:p>
    <w:p w14:paraId="74C905DE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合格：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直接转运至包装环节，随后入库发货。</w:t>
      </w:r>
    </w:p>
    <w:p w14:paraId="75B326FF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不合格：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需流转至质检工程师进行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二次评审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。</w:t>
      </w:r>
    </w:p>
    <w:p w14:paraId="7A9E678A">
      <w:pPr>
        <w:spacing w:before="0" w:after="120"/>
        <w:ind w:left="108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若二次评审合格，则转运包装。</w:t>
      </w:r>
    </w:p>
    <w:p w14:paraId="716334D7">
      <w:pPr>
        <w:spacing w:before="0" w:after="120"/>
        <w:ind w:left="108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若二次评审仍不合格，则记录在"不合格品报表"中（含卷号、规格、离线版形数据、表检、针检信息、评审信息、降级原因、操作手、质检人员、时间等信息），物料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暂放现场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。</w:t>
      </w:r>
    </w:p>
    <w:p w14:paraId="6884C305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精切料判定逻辑：</w:t>
      </w:r>
    </w:p>
    <w:p w14:paraId="5727F5A1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合格：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记录在"合格品报表"中，物料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暂放现场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等待排产。</w:t>
      </w:r>
    </w:p>
    <w:p w14:paraId="4C47B91D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不合格：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同样流转至质检工程师二次评审。</w:t>
      </w:r>
    </w:p>
    <w:p w14:paraId="5705952C">
      <w:pPr>
        <w:spacing w:before="0" w:after="120"/>
        <w:ind w:left="108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复审不合格，质检登记不合格品报表并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暂放现场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。</w:t>
      </w:r>
    </w:p>
    <w:p w14:paraId="0505F615">
      <w:pPr>
        <w:spacing w:before="0" w:after="120"/>
        <w:ind w:left="108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复审合格，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暂放现场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。</w:t>
      </w:r>
    </w:p>
    <w:p w14:paraId="20717271">
      <w:pPr>
        <w:pStyle w:val="4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三、 计划匹配与找料环节（核心瓶颈点）</w:t>
      </w:r>
    </w:p>
    <w:p w14:paraId="0E0A6A7D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计划编排：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计划人员根据质检评审信息和客户订单（厚度、宽度、米数等参数），在局域网的"订单池表格"中进行匹配，制定精切来料计划。</w:t>
      </w:r>
    </w:p>
    <w:p w14:paraId="1D278D1B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人工挑料：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精切人员根据计划，在现场堆放的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约 1000 个料卷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中进行人工挑选和找料。</w:t>
      </w:r>
    </w:p>
    <w:p w14:paraId="0F2D2A41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注：现场约 1000 个卷，挑选暂放料费时费力，找料困难，需要解决这一大难题。自动化高架库方可解决此问题。</w:t>
      </w:r>
    </w:p>
    <w:p w14:paraId="60496A1D">
      <w:pPr>
        <w:pStyle w:val="4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四、 后道工序与成品入库</w:t>
      </w:r>
    </w:p>
    <w:p w14:paraId="583C16AB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精切前处理：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挑选出的物料进入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电晕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工序。</w:t>
      </w:r>
    </w:p>
    <w:p w14:paraId="43445EBE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精切加工：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进行最后的精密切割。</w:t>
      </w:r>
    </w:p>
    <w:p w14:paraId="31061853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成品化：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形成最终成品。</w:t>
      </w:r>
    </w:p>
    <w:p w14:paraId="2138C92A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最终环节：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经过最后的包装工序后，完成入库与发货。</w:t>
      </w:r>
    </w:p>
    <w:p w14:paraId="1B5F7016">
      <w:pPr>
        <w:pStyle w:val="4"/>
        <w:spacing w:before="24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流程现状总结</w:t>
      </w:r>
    </w:p>
    <w:p w14:paraId="6ACDD4F0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信息化程度：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依赖纸质/局域网电子表格手工登记，评审与计划存在严重滞后。</w:t>
      </w:r>
    </w:p>
    <w:p w14:paraId="6B0B098C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仓储模式：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典型的"地堆式"存放，由于物料多达千卷，导致"找料"和"挑料"成为巨大的生产浪费。</w:t>
      </w:r>
    </w:p>
    <w:p w14:paraId="7DA58CA9">
      <w:pPr>
        <w:spacing w:before="0" w:after="120"/>
        <w:ind w:left="720" w:hanging="36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安全风险：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频繁的人工搬运和密集的现场堆放增加了安全隐患。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3EC75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120"/>
    </w:pPr>
    <w:rPr>
      <w:rFonts w:ascii="Times New Roman" w:hAnsi="Times New Roman" w:eastAsia="Times New Roman" w:cs="Times New Roman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spacing w:before="360" w:after="120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spacing w:before="240" w:after="12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spacing w:line="288" w:lineRule="auto"/>
      <w:ind w:left="7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Block Math"/>
    <w:basedOn w:val="1"/>
    <w:next w:val="1"/>
    <w:qFormat/>
    <w:uiPriority w:val="0"/>
    <w:pPr>
      <w:spacing w:before="300" w:after="300" w:line="360" w:lineRule="auto"/>
      <w:jc w:val="center"/>
    </w:pPr>
    <w:rPr>
      <w:rFonts w:ascii="Cambria Math" w:hAnsi="Cambria Math" w:eastAsia="Cambria Math" w:cs="Cambria Math"/>
      <w:color w:val="000000"/>
      <w:sz w:val="24"/>
      <w:szCs w:val="24"/>
    </w:rPr>
  </w:style>
  <w:style w:type="paragraph" w:customStyle="1" w:styleId="17">
    <w:name w:val="Inline Math"/>
    <w:basedOn w:val="1"/>
    <w:next w:val="1"/>
    <w:qFormat/>
    <w:uiPriority w:val="0"/>
    <w:rPr>
      <w:rFonts w:ascii="Cambria Math" w:hAnsi="Cambria Math" w:eastAsia="Cambria Math" w:cs="Cambria Math"/>
      <w:color w:val="00000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2262</Words>
  <Characters>2296</Characters>
  <TotalTime>2</TotalTime>
  <ScaleCrop>false</ScaleCrop>
  <LinksUpToDate>false</LinksUpToDate>
  <CharactersWithSpaces>2363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2026-01-05T05:29:00Z</dcterms:created>
  <dc:creator>Un-named</dc:creator>
  <cp:lastModifiedBy>上善若水</cp:lastModifiedBy>
  <dcterms:modified xsi:type="dcterms:W3CDTF">2026-01-05T05:32:27Z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eyJoZGlkIjoiNjdkZmNkY2Q0MTg2OWY1NmZkNGUyMDQ0YzAzNTFmYmYiLCJ1c2VySWQiOiIyMzUzMzM2MjAifQ==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E21CF8944C7445288FDCB76B08257B5C_12</vt:lpwstr>
  </property>
</Properties>
</file>