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t xml:space="preserve">Enterprise-wide cyber incident response plan — Oscorp</w:t>
      </w:r>
    </w:p>
    <w:p>
      <w:pPr>
        <w:spacing w:after="140" w:line="276"/>
        <w:jc w:val="both"/>
      </w:pPr>
      <w:r>
        <w:rPr>
          <w:b/>
          <w:bCs/>
        </w:rPr>
        <w:t xml:space="preserve">Module:</w:t>
      </w:r>
      <w:r>
        <w:t xml:space="preserve"> 08 — Detection and Incident Response </w:t>
      </w:r>
      <w:r>
        <w:rPr>
          <w:b/>
          <w:bCs/>
        </w:rPr>
        <w:t xml:space="preserve">Type:</w:t>
      </w:r>
      <w:r>
        <w:t xml:space="preserve"> Practical assessment </w:t>
      </w:r>
      <w:r>
        <w:rPr>
          <w:b/>
          <w:bCs/>
        </w:rPr>
        <w:t xml:space="preserve">Status:</w:t>
      </w:r>
      <w:r>
        <w:t xml:space="preserve"> My own answer, written before seeing the course solution.</w:t>
      </w:r>
    </w:p>
    <w:p>
      <w:pPr>
        <w:spacing w:after="140" w:line="276"/>
        <w:jc w:val="both"/>
      </w:pPr>
      <w:r>
        <w:rPr>
          <w:b/>
          <w:bCs/>
        </w:rPr>
        <w:t xml:space="preserve">Basis.</w:t>
      </w:r>
      <w:r>
        <w:t xml:space="preserve"> Structure and terminology follow the </w:t>
      </w:r>
      <w:r>
        <w:rPr>
          <w:b/>
          <w:bCs/>
        </w:rPr>
        <w:t xml:space="preserve">ENISA Good Practice Guide for Incident Management</w:t>
      </w:r>
      <w:r>
        <w:t xml:space="preserve"> (Detection → Triage → Analysis → Incident Response; ENISA role definitions). Reporting obligations follow </w:t>
      </w:r>
      <w:r>
        <w:rPr>
          <w:b/>
          <w:bCs/>
        </w:rPr>
        <w:t xml:space="preserve">NIS2 Article 23</w:t>
      </w:r>
      <w:r>
        <w:t xml:space="preserve"> and </w:t>
      </w:r>
      <w:r>
        <w:rPr>
          <w:b/>
          <w:bCs/>
        </w:rPr>
        <w:t xml:space="preserve">GDPR Articles 33–34</w:t>
      </w:r>
      <w:r>
        <w:t xml:space="preserve">. An EU framing was chosen deliberately — see Design Notes.</w:t>
      </w:r>
    </w:p>
    <w:p>
      <w:pPr>
        <w:pBdr>
          <w:left w:val="single" w:color="1F3864" w:sz="12" w:space="12"/>
        </w:pBdr>
        <w:spacing w:after="200" w:before="100"/>
        <w:ind w:left="340"/>
      </w:pPr>
      <w:r>
        <w:rPr>
          <w:i/>
          <w:iCs/>
        </w:rPr>
        <w:t xml:space="preserve">Values in </w:t>
      </w:r>
      <w:r>
        <w:rPr>
          <w:rFonts w:ascii="Consolas" w:cs="Consolas" w:eastAsia="Consolas" w:hAnsi="Consolas"/>
          <w:i/>
          <w:iCs/>
          <w:sz w:val="19"/>
          <w:szCs w:val="19"/>
        </w:rPr>
        <w:t xml:space="preserve">&lt;angle brackets&gt;</w:t>
      </w:r>
      <w:r>
        <w:rPr>
          <w:i/>
          <w:iCs/>
        </w:rPr>
        <w:t xml:space="preserve"> are Oscorp's to supply. A plan containing invented contact details reads as finished while being unusable.</w:t>
      </w:r>
    </w:p>
    <w:p>
      <w:pPr>
        <w:pBdr>
          <w:bottom w:val="single" w:color="C6CEDC" w:sz="6" w:space="6"/>
        </w:pBdr>
        <w:spacing w:after="160" w:before="60"/>
      </w:pPr>
      <w:r>
        <w:t xml:space="preserve"/>
      </w:r>
    </w:p>
    <w:p>
      <w:pPr>
        <w:pStyle w:val="Heading1"/>
        <w:spacing w:after="120" w:before="260"/>
      </w:pPr>
      <w:r>
        <w:t xml:space="preserve">Document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75"/>
        <w:gridCol w:w="7651"/>
      </w:tblGrid>
      <w:tr>
        <w:trPr>
          <w:tblHeader/>
        </w:trPr>
        <w:tc>
          <w:tcPr>
            <w:tcW w:type="dxa" w:w="1375"/>
            <w:shd w:fill="E8EDF5" w:color="auto" w:val="clear"/>
            <w:tcMar>
              <w:top w:type="dxa" w:w="80"/>
              <w:left w:type="dxa" w:w="110"/>
              <w:bottom w:type="dxa" w:w="80"/>
              <w:right w:type="dxa" w:w="110"/>
            </w:tcMar>
          </w:tcPr>
          <w:p>
            <w:pPr>
              <w:spacing w:after="0" w:before="0"/>
            </w:pPr>
            <w:r>
              <w:rPr>
                <w:b/>
                <w:bCs/>
                <w:sz w:val="19"/>
                <w:szCs w:val="19"/>
              </w:rPr>
              <w:t xml:space="preserve">Field</w:t>
            </w:r>
          </w:p>
        </w:tc>
        <w:tc>
          <w:tcPr>
            <w:tcW w:type="dxa" w:w="7651"/>
            <w:shd w:fill="E8EDF5" w:color="auto" w:val="clear"/>
            <w:tcMar>
              <w:top w:type="dxa" w:w="80"/>
              <w:left w:type="dxa" w:w="110"/>
              <w:bottom w:type="dxa" w:w="80"/>
              <w:right w:type="dxa" w:w="110"/>
            </w:tcMar>
          </w:tcPr>
          <w:p>
            <w:pPr>
              <w:spacing w:after="0" w:before="0"/>
            </w:pPr>
            <w:r>
              <w:rPr>
                <w:b/>
                <w:bCs/>
                <w:sz w:val="19"/>
                <w:szCs w:val="19"/>
              </w:rPr>
              <w:t xml:space="preserve">Value</w:t>
            </w:r>
          </w:p>
        </w:tc>
      </w:tr>
      <w:tr>
        <w:tc>
          <w:tcPr>
            <w:tcW w:type="dxa" w:w="1375"/>
            <w:tcMar>
              <w:top w:type="dxa" w:w="80"/>
              <w:left w:type="dxa" w:w="110"/>
              <w:bottom w:type="dxa" w:w="80"/>
              <w:right w:type="dxa" w:w="110"/>
            </w:tcMar>
          </w:tcPr>
          <w:p>
            <w:pPr>
              <w:spacing w:after="0" w:before="0"/>
            </w:pPr>
            <w:r>
              <w:rPr>
                <w:sz w:val="19"/>
                <w:szCs w:val="19"/>
              </w:rPr>
              <w:t xml:space="preserve">Document</w:t>
            </w:r>
          </w:p>
        </w:tc>
        <w:tc>
          <w:tcPr>
            <w:tcW w:type="dxa" w:w="7651"/>
            <w:tcMar>
              <w:top w:type="dxa" w:w="80"/>
              <w:left w:type="dxa" w:w="110"/>
              <w:bottom w:type="dxa" w:w="80"/>
              <w:right w:type="dxa" w:w="110"/>
            </w:tcMar>
          </w:tcPr>
          <w:p>
            <w:pPr>
              <w:spacing w:after="0" w:before="0"/>
            </w:pPr>
            <w:r>
              <w:rPr>
                <w:sz w:val="19"/>
                <w:szCs w:val="19"/>
              </w:rPr>
              <w:t xml:space="preserve">Oscorp Enterprise Cyber Incident Response Plan</w:t>
            </w:r>
          </w:p>
        </w:tc>
      </w:tr>
      <w:tr>
        <w:tc>
          <w:tcPr>
            <w:tcW w:type="dxa" w:w="1375"/>
            <w:tcMar>
              <w:top w:type="dxa" w:w="80"/>
              <w:left w:type="dxa" w:w="110"/>
              <w:bottom w:type="dxa" w:w="80"/>
              <w:right w:type="dxa" w:w="110"/>
            </w:tcMar>
          </w:tcPr>
          <w:p>
            <w:pPr>
              <w:spacing w:after="0" w:before="0"/>
            </w:pPr>
            <w:r>
              <w:rPr>
                <w:sz w:val="19"/>
                <w:szCs w:val="19"/>
              </w:rPr>
              <w:t xml:space="preserve">Version</w:t>
            </w:r>
          </w:p>
        </w:tc>
        <w:tc>
          <w:tcPr>
            <w:tcW w:type="dxa" w:w="7651"/>
            <w:tcMar>
              <w:top w:type="dxa" w:w="80"/>
              <w:left w:type="dxa" w:w="110"/>
              <w:bottom w:type="dxa" w:w="80"/>
              <w:right w:type="dxa" w:w="110"/>
            </w:tcMar>
          </w:tcPr>
          <w:p>
            <w:pPr>
              <w:spacing w:after="0" w:before="0"/>
            </w:pPr>
            <w:r>
              <w:rPr>
                <w:sz w:val="19"/>
                <w:szCs w:val="19"/>
              </w:rPr>
              <w:t xml:space="preserve">1.0 — draft for endorsement</w:t>
            </w:r>
          </w:p>
        </w:tc>
      </w:tr>
      <w:tr>
        <w:tc>
          <w:tcPr>
            <w:tcW w:type="dxa" w:w="1375"/>
            <w:tcMar>
              <w:top w:type="dxa" w:w="80"/>
              <w:left w:type="dxa" w:w="110"/>
              <w:bottom w:type="dxa" w:w="80"/>
              <w:right w:type="dxa" w:w="110"/>
            </w:tcMar>
          </w:tcPr>
          <w:p>
            <w:pPr>
              <w:spacing w:after="0" w:before="0"/>
            </w:pPr>
            <w:r>
              <w:rPr>
                <w:sz w:val="19"/>
                <w:szCs w:val="19"/>
              </w:rPr>
              <w:t xml:space="preserve">Owner</w:t>
            </w:r>
          </w:p>
        </w:tc>
        <w:tc>
          <w:tcPr>
            <w:tcW w:type="dxa" w:w="7651"/>
            <w:tcMar>
              <w:top w:type="dxa" w:w="80"/>
              <w:left w:type="dxa" w:w="110"/>
              <w:bottom w:type="dxa" w:w="80"/>
              <w:right w:type="dxa" w:w="110"/>
            </w:tcMar>
          </w:tcPr>
          <w:p>
            <w:pPr>
              <w:spacing w:after="0" w:before="0"/>
            </w:pPr>
            <w:r>
              <w:rPr>
                <w:rFonts w:ascii="Consolas" w:cs="Consolas" w:eastAsia="Consolas" w:hAnsi="Consolas"/>
                <w:sz w:val="19"/>
                <w:szCs w:val="19"/>
              </w:rPr>
              <w:t xml:space="preserve">&lt;Head of IT / Security&gt;</w:t>
            </w:r>
          </w:p>
        </w:tc>
      </w:tr>
      <w:tr>
        <w:tc>
          <w:tcPr>
            <w:tcW w:type="dxa" w:w="1375"/>
            <w:tcMar>
              <w:top w:type="dxa" w:w="80"/>
              <w:left w:type="dxa" w:w="110"/>
              <w:bottom w:type="dxa" w:w="80"/>
              <w:right w:type="dxa" w:w="110"/>
            </w:tcMar>
          </w:tcPr>
          <w:p>
            <w:pPr>
              <w:spacing w:after="0" w:before="0"/>
            </w:pPr>
            <w:r>
              <w:rPr>
                <w:sz w:val="19"/>
                <w:szCs w:val="19"/>
              </w:rPr>
              <w:t xml:space="preserve">Endorsed by</w:t>
            </w:r>
          </w:p>
        </w:tc>
        <w:tc>
          <w:tcPr>
            <w:tcW w:type="dxa" w:w="7651"/>
            <w:tcMar>
              <w:top w:type="dxa" w:w="80"/>
              <w:left w:type="dxa" w:w="110"/>
              <w:bottom w:type="dxa" w:w="80"/>
              <w:right w:type="dxa" w:w="110"/>
            </w:tcMar>
          </w:tcPr>
          <w:p>
            <w:pPr>
              <w:spacing w:after="0" w:before="0"/>
            </w:pPr>
            <w:r>
              <w:rPr>
                <w:rFonts w:ascii="Consolas" w:cs="Consolas" w:eastAsia="Consolas" w:hAnsi="Consolas"/>
                <w:sz w:val="19"/>
                <w:szCs w:val="19"/>
              </w:rPr>
              <w:t xml:space="preserve">&lt;Chief Executive Officer&gt;</w:t>
            </w:r>
          </w:p>
        </w:tc>
      </w:tr>
      <w:tr>
        <w:tc>
          <w:tcPr>
            <w:tcW w:type="dxa" w:w="1375"/>
            <w:tcMar>
              <w:top w:type="dxa" w:w="80"/>
              <w:left w:type="dxa" w:w="110"/>
              <w:bottom w:type="dxa" w:w="80"/>
              <w:right w:type="dxa" w:w="110"/>
            </w:tcMar>
          </w:tcPr>
          <w:p>
            <w:pPr>
              <w:spacing w:after="0" w:before="0"/>
            </w:pPr>
            <w:r>
              <w:rPr>
                <w:sz w:val="19"/>
                <w:szCs w:val="19"/>
              </w:rPr>
              <w:t xml:space="preserve">Approval date</w:t>
            </w:r>
          </w:p>
        </w:tc>
        <w:tc>
          <w:tcPr>
            <w:tcW w:type="dxa" w:w="7651"/>
            <w:tcMar>
              <w:top w:type="dxa" w:w="80"/>
              <w:left w:type="dxa" w:w="110"/>
              <w:bottom w:type="dxa" w:w="80"/>
              <w:right w:type="dxa" w:w="110"/>
            </w:tcMar>
          </w:tcPr>
          <w:p>
            <w:pPr>
              <w:spacing w:after="0" w:before="0"/>
            </w:pPr>
            <w:r>
              <w:rPr>
                <w:rFonts w:ascii="Consolas" w:cs="Consolas" w:eastAsia="Consolas" w:hAnsi="Consolas"/>
                <w:sz w:val="19"/>
                <w:szCs w:val="19"/>
              </w:rPr>
              <w:t xml:space="preserve">&lt;date&gt;</w:t>
            </w:r>
          </w:p>
        </w:tc>
      </w:tr>
      <w:tr>
        <w:tc>
          <w:tcPr>
            <w:tcW w:type="dxa" w:w="1375"/>
            <w:tcMar>
              <w:top w:type="dxa" w:w="80"/>
              <w:left w:type="dxa" w:w="110"/>
              <w:bottom w:type="dxa" w:w="80"/>
              <w:right w:type="dxa" w:w="110"/>
            </w:tcMar>
          </w:tcPr>
          <w:p>
            <w:pPr>
              <w:spacing w:after="0" w:before="0"/>
            </w:pPr>
            <w:r>
              <w:rPr>
                <w:sz w:val="19"/>
                <w:szCs w:val="19"/>
              </w:rPr>
              <w:t xml:space="preserve">Review</w:t>
            </w:r>
          </w:p>
        </w:tc>
        <w:tc>
          <w:tcPr>
            <w:tcW w:type="dxa" w:w="7651"/>
            <w:tcMar>
              <w:top w:type="dxa" w:w="80"/>
              <w:left w:type="dxa" w:w="110"/>
              <w:bottom w:type="dxa" w:w="80"/>
              <w:right w:type="dxa" w:w="110"/>
            </w:tcMar>
          </w:tcPr>
          <w:p>
            <w:pPr>
              <w:spacing w:after="0" w:before="0"/>
            </w:pPr>
            <w:r>
              <w:rPr>
                <w:sz w:val="19"/>
                <w:szCs w:val="19"/>
              </w:rPr>
              <w:t xml:space="preserve">Annually, and after any Significant Incident or Cyber Emergency</w:t>
            </w:r>
          </w:p>
        </w:tc>
      </w:tr>
      <w:tr>
        <w:tc>
          <w:tcPr>
            <w:tcW w:type="dxa" w:w="1375"/>
            <w:tcMar>
              <w:top w:type="dxa" w:w="80"/>
              <w:left w:type="dxa" w:w="110"/>
              <w:bottom w:type="dxa" w:w="80"/>
              <w:right w:type="dxa" w:w="110"/>
            </w:tcMar>
          </w:tcPr>
          <w:p>
            <w:pPr>
              <w:spacing w:after="0" w:before="0"/>
            </w:pPr>
            <w:r>
              <w:rPr>
                <w:sz w:val="19"/>
                <w:szCs w:val="19"/>
              </w:rPr>
              <w:t xml:space="preserve">Related</w:t>
            </w:r>
          </w:p>
        </w:tc>
        <w:tc>
          <w:tcPr>
            <w:tcW w:type="dxa" w:w="7651"/>
            <w:tcMar>
              <w:top w:type="dxa" w:w="80"/>
              <w:left w:type="dxa" w:w="110"/>
              <w:bottom w:type="dxa" w:w="80"/>
              <w:right w:type="dxa" w:w="110"/>
            </w:tcMar>
          </w:tcPr>
          <w:p>
            <w:pPr>
              <w:spacing w:after="0" w:before="0"/>
            </w:pPr>
            <w:r>
              <w:rPr>
                <w:sz w:val="19"/>
                <w:szCs w:val="19"/>
              </w:rPr>
              <w:t xml:space="preserve">Scenario playbooks · Crisis Management Plan · Business Continuity Plan · Data Classification Policy · Asset Register · Records of Processing (GDPR Art. 30)</w:t>
            </w:r>
          </w:p>
        </w:tc>
      </w:tr>
    </w:tbl>
    <w:p>
      <w:pPr>
        <w:spacing w:after="160"/>
      </w:pPr>
      <w:r>
        <w:t xml:space="preserve"/>
      </w:r>
    </w:p>
    <w:p>
      <w:pPr>
        <w:pBdr>
          <w:bottom w:val="single" w:color="C6CEDC" w:sz="6" w:space="6"/>
        </w:pBdr>
        <w:spacing w:after="160" w:before="60"/>
      </w:pPr>
      <w:r>
        <w:t xml:space="preserve"/>
      </w:r>
    </w:p>
    <w:p>
      <w:pPr>
        <w:pStyle w:val="Heading1"/>
        <w:spacing w:after="120" w:before="260"/>
      </w:pPr>
      <w:r>
        <w:t xml:space="preserve">1. Purpose and scope</w:t>
      </w:r>
    </w:p>
    <w:p>
      <w:pPr>
        <w:pStyle w:val="Heading2"/>
        <w:spacing w:after="120" w:before="260"/>
      </w:pPr>
      <w:r>
        <w:t xml:space="preserve">1.1 Purpose</w:t>
      </w:r>
    </w:p>
    <w:p>
      <w:pPr>
        <w:spacing w:after="140" w:line="276"/>
        <w:jc w:val="both"/>
      </w:pPr>
      <w:r>
        <w:t xml:space="preserve">This plan sets out how Oscorp manages an enterprise-wide cyber crisis: how an incident is triaged and categorised, when it escalates, who is convened, who decides, who must be notified and by when, and how Oscorp communicates.</w:t>
      </w:r>
    </w:p>
    <w:p>
      <w:pPr>
        <w:spacing w:after="140" w:line="276"/>
        <w:jc w:val="both"/>
      </w:pPr>
      <w:r>
        <w:t xml:space="preserve">It is </w:t>
      </w:r>
      <w:r>
        <w:rPr>
          <w:b/>
          <w:bCs/>
        </w:rPr>
        <w:t xml:space="preserve">not</w:t>
      </w:r>
      <w:r>
        <w:t xml:space="preserve"> a technical procedure. Containment and eradication steps for specific incident types live in separate scenario playbooks (section 8). This document is written for the people who make decisions during a crisis.</w:t>
      </w:r>
    </w:p>
    <w:p>
      <w:pPr>
        <w:pStyle w:val="Heading2"/>
        <w:spacing w:after="120" w:before="260"/>
      </w:pPr>
      <w:r>
        <w:t xml:space="preserve">1.2 Scope</w:t>
      </w:r>
    </w:p>
    <w:p>
      <w:pPr>
        <w:spacing w:after="140" w:line="276"/>
        <w:jc w:val="both"/>
      </w:pPr>
      <w:r>
        <w:t xml:space="preserve">All Oscorp information systems, data and personnel, including Microsoft 365, Azure and SharePoint; the research data estate and the formulation database; laboratory systems and networked instrumentation; and third parties with access to Oscorp systems or data.</w:t>
      </w:r>
    </w:p>
    <w:p>
      <w:pPr>
        <w:pStyle w:val="Heading2"/>
        <w:spacing w:after="120" w:before="260"/>
      </w:pPr>
      <w:r>
        <w:t xml:space="preserve">1.3 Authority and review</w:t>
      </w:r>
    </w:p>
    <w:p>
      <w:pPr>
        <w:spacing w:after="140" w:line="276"/>
        <w:jc w:val="both"/>
      </w:pPr>
      <w:r>
        <w:t xml:space="preserve">Endorsed by the Chief Executive Officer. Once activated, the Incident Manager may direct response activity and authorise containment that interrupts business services, within the limits at section 5.3. Reviewed annually and after every Significant Incident, and exercised at least annually (section 11).</w:t>
      </w:r>
    </w:p>
    <w:p>
      <w:pPr>
        <w:pBdr>
          <w:bottom w:val="single" w:color="C6CEDC" w:sz="6" w:space="6"/>
        </w:pBdr>
        <w:spacing w:after="160" w:before="60"/>
      </w:pPr>
      <w:r>
        <w:t xml:space="preserve"/>
      </w:r>
    </w:p>
    <w:p>
      <w:pPr>
        <w:pStyle w:val="Heading1"/>
        <w:spacing w:after="120" w:before="260"/>
      </w:pPr>
      <w:r>
        <w:t xml:space="preserve">2. Regulatory applicability</w:t>
      </w:r>
    </w:p>
    <w:p>
      <w:pPr>
        <w:spacing w:after="140" w:line="276"/>
        <w:jc w:val="both"/>
      </w:pPr>
      <w:r>
        <w:t xml:space="preserve">Oscorp must confirm which obligations apply before relying on section 6. An incident response plan that assumes the wrong regime misses deadlines.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15"/>
        <w:gridCol w:w="2973"/>
        <w:gridCol w:w="4738"/>
      </w:tblGrid>
      <w:tr>
        <w:trPr>
          <w:tblHeader/>
        </w:trPr>
        <w:tc>
          <w:tcPr>
            <w:tcW w:type="dxa" w:w="1315"/>
            <w:shd w:fill="E8EDF5" w:color="auto" w:val="clear"/>
            <w:tcMar>
              <w:top w:type="dxa" w:w="80"/>
              <w:left w:type="dxa" w:w="110"/>
              <w:bottom w:type="dxa" w:w="80"/>
              <w:right w:type="dxa" w:w="110"/>
            </w:tcMar>
          </w:tcPr>
          <w:p>
            <w:pPr>
              <w:spacing w:after="0" w:before="0"/>
            </w:pPr>
            <w:r>
              <w:rPr>
                <w:b/>
                <w:bCs/>
                <w:sz w:val="19"/>
                <w:szCs w:val="19"/>
              </w:rPr>
              <w:t xml:space="preserve">Regime</w:t>
            </w:r>
          </w:p>
        </w:tc>
        <w:tc>
          <w:tcPr>
            <w:tcW w:type="dxa" w:w="2973"/>
            <w:shd w:fill="E8EDF5" w:color="auto" w:val="clear"/>
            <w:tcMar>
              <w:top w:type="dxa" w:w="80"/>
              <w:left w:type="dxa" w:w="110"/>
              <w:bottom w:type="dxa" w:w="80"/>
              <w:right w:type="dxa" w:w="110"/>
            </w:tcMar>
          </w:tcPr>
          <w:p>
            <w:pPr>
              <w:spacing w:after="0" w:before="0"/>
            </w:pPr>
            <w:r>
              <w:rPr>
                <w:b/>
                <w:bCs/>
                <w:sz w:val="19"/>
                <w:szCs w:val="19"/>
              </w:rPr>
              <w:t xml:space="preserve">Trigger</w:t>
            </w:r>
          </w:p>
        </w:tc>
        <w:tc>
          <w:tcPr>
            <w:tcW w:type="dxa" w:w="4738"/>
            <w:shd w:fill="E8EDF5" w:color="auto" w:val="clear"/>
            <w:tcMar>
              <w:top w:type="dxa" w:w="80"/>
              <w:left w:type="dxa" w:w="110"/>
              <w:bottom w:type="dxa" w:w="80"/>
              <w:right w:type="dxa" w:w="110"/>
            </w:tcMar>
          </w:tcPr>
          <w:p>
            <w:pPr>
              <w:spacing w:after="0" w:before="0"/>
            </w:pPr>
            <w:r>
              <w:rPr>
                <w:b/>
                <w:bCs/>
                <w:sz w:val="19"/>
                <w:szCs w:val="19"/>
              </w:rPr>
              <w:t xml:space="preserve">Oscorp position</w:t>
            </w:r>
          </w:p>
        </w:tc>
      </w:tr>
      <w:tr>
        <w:tc>
          <w:tcPr>
            <w:tcW w:type="dxa" w:w="1315"/>
            <w:tcMar>
              <w:top w:type="dxa" w:w="80"/>
              <w:left w:type="dxa" w:w="110"/>
              <w:bottom w:type="dxa" w:w="80"/>
              <w:right w:type="dxa" w:w="110"/>
            </w:tcMar>
          </w:tcPr>
          <w:p>
            <w:pPr>
              <w:spacing w:after="0" w:before="0"/>
            </w:pPr>
            <w:r>
              <w:rPr>
                <w:b/>
                <w:bCs/>
                <w:sz w:val="19"/>
                <w:szCs w:val="19"/>
              </w:rPr>
              <w:t xml:space="preserve">GDPR Arts. 33–34</w:t>
            </w:r>
          </w:p>
        </w:tc>
        <w:tc>
          <w:tcPr>
            <w:tcW w:type="dxa" w:w="2973"/>
            <w:tcMar>
              <w:top w:type="dxa" w:w="80"/>
              <w:left w:type="dxa" w:w="110"/>
              <w:bottom w:type="dxa" w:w="80"/>
              <w:right w:type="dxa" w:w="110"/>
            </w:tcMar>
          </w:tcPr>
          <w:p>
            <w:pPr>
              <w:spacing w:after="0" w:before="0"/>
            </w:pPr>
            <w:r>
              <w:rPr>
                <w:sz w:val="19"/>
                <w:szCs w:val="19"/>
              </w:rPr>
              <w:t xml:space="preserve">Personal data breach</w:t>
            </w:r>
          </w:p>
        </w:tc>
        <w:tc>
          <w:tcPr>
            <w:tcW w:type="dxa" w:w="4738"/>
            <w:tcMar>
              <w:top w:type="dxa" w:w="80"/>
              <w:left w:type="dxa" w:w="110"/>
              <w:bottom w:type="dxa" w:w="80"/>
              <w:right w:type="dxa" w:w="110"/>
            </w:tcMar>
          </w:tcPr>
          <w:p>
            <w:pPr>
              <w:spacing w:after="0" w:before="0"/>
            </w:pPr>
            <w:r>
              <w:rPr>
                <w:b/>
                <w:bCs/>
                <w:sz w:val="19"/>
                <w:szCs w:val="19"/>
              </w:rPr>
              <w:t xml:space="preserve">Applies</w:t>
            </w:r>
            <w:r>
              <w:rPr>
                <w:sz w:val="19"/>
                <w:szCs w:val="19"/>
              </w:rPr>
              <w:t xml:space="preserve"> — employee data at minimum; research subject data if held</w:t>
            </w:r>
          </w:p>
        </w:tc>
      </w:tr>
      <w:tr>
        <w:tc>
          <w:tcPr>
            <w:tcW w:type="dxa" w:w="1315"/>
            <w:tcMar>
              <w:top w:type="dxa" w:w="80"/>
              <w:left w:type="dxa" w:w="110"/>
              <w:bottom w:type="dxa" w:w="80"/>
              <w:right w:type="dxa" w:w="110"/>
            </w:tcMar>
          </w:tcPr>
          <w:p>
            <w:pPr>
              <w:spacing w:after="0" w:before="0"/>
            </w:pPr>
            <w:r>
              <w:rPr>
                <w:b/>
                <w:bCs/>
                <w:sz w:val="19"/>
                <w:szCs w:val="19"/>
              </w:rPr>
              <w:t xml:space="preserve">NIS2 Art. 23</w:t>
            </w:r>
          </w:p>
        </w:tc>
        <w:tc>
          <w:tcPr>
            <w:tcW w:type="dxa" w:w="2973"/>
            <w:tcMar>
              <w:top w:type="dxa" w:w="80"/>
              <w:left w:type="dxa" w:w="110"/>
              <w:bottom w:type="dxa" w:w="80"/>
              <w:right w:type="dxa" w:w="110"/>
            </w:tcMar>
          </w:tcPr>
          <w:p>
            <w:pPr>
              <w:spacing w:after="0" w:before="0"/>
            </w:pPr>
            <w:r>
              <w:rPr>
                <w:sz w:val="19"/>
                <w:szCs w:val="19"/>
              </w:rPr>
              <w:t xml:space="preserve">Being an essential or important entity</w:t>
            </w:r>
          </w:p>
        </w:tc>
        <w:tc>
          <w:tcPr>
            <w:tcW w:type="dxa" w:w="4738"/>
            <w:tcMar>
              <w:top w:type="dxa" w:w="80"/>
              <w:left w:type="dxa" w:w="110"/>
              <w:bottom w:type="dxa" w:w="80"/>
              <w:right w:type="dxa" w:w="110"/>
            </w:tcMar>
          </w:tcPr>
          <w:p>
            <w:pPr>
              <w:spacing w:after="0" w:before="0"/>
            </w:pPr>
            <w:r>
              <w:rPr>
                <w:b/>
                <w:bCs/>
                <w:sz w:val="19"/>
                <w:szCs w:val="19"/>
              </w:rPr>
              <w:t xml:space="preserve">Likely applies</w:t>
            </w:r>
            <w:r>
              <w:rPr>
                <w:sz w:val="19"/>
                <w:szCs w:val="19"/>
              </w:rPr>
              <w:t xml:space="preserve"> — NIS2 Annex I covers the health sector and manufacture of pharmaceutical products. Oscorp must confirm its classification with </w:t>
            </w:r>
            <w:r>
              <w:rPr>
                <w:rFonts w:ascii="Consolas" w:cs="Consolas" w:eastAsia="Consolas" w:hAnsi="Consolas"/>
                <w:sz w:val="19"/>
                <w:szCs w:val="19"/>
              </w:rPr>
              <w:t xml:space="preserve">&lt;national competent authority&gt;</w:t>
            </w:r>
            <w:r>
              <w:rPr>
                <w:sz w:val="19"/>
                <w:szCs w:val="19"/>
              </w:rPr>
              <w:t xml:space="preserve"> and whether it is </w:t>
            </w:r>
            <w:r>
              <w:rPr>
                <w:i/>
                <w:iCs/>
                <w:sz w:val="19"/>
                <w:szCs w:val="19"/>
              </w:rPr>
              <w:t xml:space="preserve">essential</w:t>
            </w:r>
            <w:r>
              <w:rPr>
                <w:sz w:val="19"/>
                <w:szCs w:val="19"/>
              </w:rPr>
              <w:t xml:space="preserve"> or </w:t>
            </w:r>
            <w:r>
              <w:rPr>
                <w:i/>
                <w:iCs/>
                <w:sz w:val="19"/>
                <w:szCs w:val="19"/>
              </w:rPr>
              <w:t xml:space="preserve">important</w:t>
            </w:r>
          </w:p>
        </w:tc>
      </w:tr>
      <w:tr>
        <w:tc>
          <w:tcPr>
            <w:tcW w:type="dxa" w:w="1315"/>
            <w:tcMar>
              <w:top w:type="dxa" w:w="80"/>
              <w:left w:type="dxa" w:w="110"/>
              <w:bottom w:type="dxa" w:w="80"/>
              <w:right w:type="dxa" w:w="110"/>
            </w:tcMar>
          </w:tcPr>
          <w:p>
            <w:pPr>
              <w:spacing w:after="0" w:before="0"/>
            </w:pPr>
            <w:r>
              <w:rPr>
                <w:b/>
                <w:bCs/>
                <w:sz w:val="19"/>
                <w:szCs w:val="19"/>
              </w:rPr>
              <w:t xml:space="preserve">Medicines regulation</w:t>
            </w:r>
          </w:p>
        </w:tc>
        <w:tc>
          <w:tcPr>
            <w:tcW w:type="dxa" w:w="2973"/>
            <w:tcMar>
              <w:top w:type="dxa" w:w="80"/>
              <w:left w:type="dxa" w:w="110"/>
              <w:bottom w:type="dxa" w:w="80"/>
              <w:right w:type="dxa" w:w="110"/>
            </w:tcMar>
          </w:tcPr>
          <w:p>
            <w:pPr>
              <w:spacing w:after="0" w:before="0"/>
            </w:pPr>
            <w:r>
              <w:rPr>
                <w:sz w:val="19"/>
                <w:szCs w:val="19"/>
              </w:rPr>
              <w:t xml:space="preserve">Incidents affecting the integrity of data supporting a marketed medicinal product</w:t>
            </w:r>
          </w:p>
        </w:tc>
        <w:tc>
          <w:tcPr>
            <w:tcW w:type="dxa" w:w="4738"/>
            <w:tcMar>
              <w:top w:type="dxa" w:w="80"/>
              <w:left w:type="dxa" w:w="110"/>
              <w:bottom w:type="dxa" w:w="80"/>
              <w:right w:type="dxa" w:w="110"/>
            </w:tcMar>
          </w:tcPr>
          <w:p>
            <w:pPr>
              <w:spacing w:after="0" w:before="0"/>
            </w:pPr>
            <w:r>
              <w:rPr>
                <w:b/>
                <w:bCs/>
                <w:sz w:val="19"/>
                <w:szCs w:val="19"/>
              </w:rPr>
              <w:t xml:space="preserve">Likely applies</w:t>
            </w:r>
            <w:r>
              <w:rPr>
                <w:sz w:val="19"/>
                <w:szCs w:val="19"/>
              </w:rPr>
              <w:t xml:space="preserve"> — obligations to </w:t>
            </w:r>
            <w:r>
              <w:rPr>
                <w:rFonts w:ascii="Consolas" w:cs="Consolas" w:eastAsia="Consolas" w:hAnsi="Consolas"/>
                <w:sz w:val="19"/>
                <w:szCs w:val="19"/>
              </w:rPr>
              <w:t xml:space="preserve">&lt;national medicines authority / EMA&gt;</w:t>
            </w:r>
            <w:r>
              <w:rPr>
                <w:sz w:val="19"/>
                <w:szCs w:val="19"/>
              </w:rPr>
              <w:t xml:space="preserve">; confirm with regulatory affairs</w:t>
            </w:r>
          </w:p>
        </w:tc>
      </w:tr>
      <w:tr>
        <w:tc>
          <w:tcPr>
            <w:tcW w:type="dxa" w:w="1315"/>
            <w:tcMar>
              <w:top w:type="dxa" w:w="80"/>
              <w:left w:type="dxa" w:w="110"/>
              <w:bottom w:type="dxa" w:w="80"/>
              <w:right w:type="dxa" w:w="110"/>
            </w:tcMar>
          </w:tcPr>
          <w:p>
            <w:pPr>
              <w:spacing w:after="0" w:before="0"/>
            </w:pPr>
            <w:r>
              <w:rPr>
                <w:b/>
                <w:bCs/>
                <w:sz w:val="19"/>
                <w:szCs w:val="19"/>
              </w:rPr>
              <w:t xml:space="preserve">Contractual</w:t>
            </w:r>
          </w:p>
        </w:tc>
        <w:tc>
          <w:tcPr>
            <w:tcW w:type="dxa" w:w="2973"/>
            <w:tcMar>
              <w:top w:type="dxa" w:w="80"/>
              <w:left w:type="dxa" w:w="110"/>
              <w:bottom w:type="dxa" w:w="80"/>
              <w:right w:type="dxa" w:w="110"/>
            </w:tcMar>
          </w:tcPr>
          <w:p>
            <w:pPr>
              <w:spacing w:after="0" w:before="0"/>
            </w:pPr>
            <w:r>
              <w:rPr>
                <w:sz w:val="19"/>
                <w:szCs w:val="19"/>
              </w:rPr>
              <w:t xml:space="preserve">Research partner and customer notification clauses</w:t>
            </w:r>
          </w:p>
        </w:tc>
        <w:tc>
          <w:tcPr>
            <w:tcW w:type="dxa" w:w="4738"/>
            <w:tcMar>
              <w:top w:type="dxa" w:w="80"/>
              <w:left w:type="dxa" w:w="110"/>
              <w:bottom w:type="dxa" w:w="80"/>
              <w:right w:type="dxa" w:w="110"/>
            </w:tcMar>
          </w:tcPr>
          <w:p>
            <w:pPr>
              <w:spacing w:after="0" w:before="0"/>
            </w:pPr>
            <w:r>
              <w:rPr>
                <w:sz w:val="19"/>
                <w:szCs w:val="19"/>
              </w:rPr>
              <w:t xml:space="preserve">Confirm per contract</w:t>
            </w:r>
          </w:p>
        </w:tc>
      </w:tr>
      <w:tr>
        <w:tc>
          <w:tcPr>
            <w:tcW w:type="dxa" w:w="1315"/>
            <w:tcMar>
              <w:top w:type="dxa" w:w="80"/>
              <w:left w:type="dxa" w:w="110"/>
              <w:bottom w:type="dxa" w:w="80"/>
              <w:right w:type="dxa" w:w="110"/>
            </w:tcMar>
          </w:tcPr>
          <w:p>
            <w:pPr>
              <w:spacing w:after="0" w:before="0"/>
            </w:pPr>
            <w:r>
              <w:rPr>
                <w:b/>
                <w:bCs/>
                <w:sz w:val="19"/>
                <w:szCs w:val="19"/>
              </w:rPr>
              <w:t xml:space="preserve">Cyber insurance</w:t>
            </w:r>
          </w:p>
        </w:tc>
        <w:tc>
          <w:tcPr>
            <w:tcW w:type="dxa" w:w="2973"/>
            <w:tcMar>
              <w:top w:type="dxa" w:w="80"/>
              <w:left w:type="dxa" w:w="110"/>
              <w:bottom w:type="dxa" w:w="80"/>
              <w:right w:type="dxa" w:w="110"/>
            </w:tcMar>
          </w:tcPr>
          <w:p>
            <w:pPr>
              <w:spacing w:after="0" w:before="0"/>
            </w:pPr>
            <w:r>
              <w:rPr>
                <w:sz w:val="19"/>
                <w:szCs w:val="19"/>
              </w:rPr>
              <w:t xml:space="preserve">Policy notification conditions</w:t>
            </w:r>
          </w:p>
        </w:tc>
        <w:tc>
          <w:tcPr>
            <w:tcW w:type="dxa" w:w="4738"/>
            <w:tcMar>
              <w:top w:type="dxa" w:w="80"/>
              <w:left w:type="dxa" w:w="110"/>
              <w:bottom w:type="dxa" w:w="80"/>
              <w:right w:type="dxa" w:w="110"/>
            </w:tcMar>
          </w:tcPr>
          <w:p>
            <w:pPr>
              <w:spacing w:after="0" w:before="0"/>
            </w:pPr>
            <w:r>
              <w:rPr>
                <w:sz w:val="19"/>
                <w:szCs w:val="19"/>
              </w:rPr>
              <w:t xml:space="preserve">Confirm per policy</w:t>
            </w:r>
          </w:p>
        </w:tc>
      </w:tr>
    </w:tbl>
    <w:p>
      <w:pPr>
        <w:spacing w:after="160"/>
      </w:pPr>
      <w:r>
        <w:t xml:space="preserve"/>
      </w:r>
    </w:p>
    <w:p>
      <w:pPr>
        <w:spacing w:after="140" w:line="276"/>
        <w:jc w:val="both"/>
      </w:pPr>
      <w:r>
        <w:rPr>
          <w:b/>
          <w:bCs/>
        </w:rPr>
        <w:t xml:space="preserve">Action before this plan is endorsed:</w:t>
      </w:r>
      <w:r>
        <w:t xml:space="preserve"> legal and regulatory affairs confirm Oscorp's NIS2 classification, the competent authority and CSIRT to be notified, and any sector-specific reporting duties. Section 6 is written assuming NIS2 applies; if it does not, those rows are removed rather than left ambiguous.</w:t>
      </w:r>
    </w:p>
    <w:p>
      <w:pPr>
        <w:pBdr>
          <w:bottom w:val="single" w:color="C6CEDC" w:sz="6" w:space="6"/>
        </w:pBdr>
        <w:spacing w:after="160" w:before="60"/>
      </w:pPr>
      <w:r>
        <w:t xml:space="preserve"/>
      </w:r>
    </w:p>
    <w:p>
      <w:pPr>
        <w:pStyle w:val="Heading1"/>
        <w:spacing w:after="120" w:before="260"/>
      </w:pPr>
      <w:r>
        <w:t xml:space="preserve">3. Definitions and categorisation</w:t>
      </w:r>
    </w:p>
    <w:p>
      <w:pPr>
        <w:spacing w:after="140" w:line="276"/>
        <w:jc w:val="both"/>
      </w:pPr>
      <w:r>
        <w:rPr>
          <w:b/>
          <w:bCs/>
        </w:rPr>
        <w:t xml:space="preserve">Event</w:t>
      </w:r>
      <w:r>
        <w:t xml:space="preserve"> — an occurrence that may become an incident; not confirmed. Repeated failed logons; antivirus disabled; an unexplained configuration change.</w:t>
      </w:r>
    </w:p>
    <w:p>
      <w:pPr>
        <w:spacing w:after="140" w:line="276"/>
        <w:jc w:val="both"/>
      </w:pPr>
      <w:r>
        <w:rPr>
          <w:b/>
          <w:bCs/>
        </w:rPr>
        <w:t xml:space="preserve">Incident</w:t>
      </w:r>
      <w:r>
        <w:t xml:space="preserve"> — a confirmed breach of security policy threatening confidentiality, integrity or availability. Ransomware; account compromise; unauthorised disclosure of research data.</w:t>
      </w:r>
    </w:p>
    <w:p>
      <w:pPr>
        <w:spacing w:after="140" w:line="276"/>
        <w:jc w:val="both"/>
      </w:pPr>
      <w:r>
        <w:rPr>
          <w:b/>
          <w:bCs/>
        </w:rPr>
        <w:t xml:space="preserve">Crisis</w:t>
      </w:r>
      <w:r>
        <w:t xml:space="preserve"> — an incident managed as an organisational emergency, requiring executive direction and external communication.</w:t>
      </w:r>
    </w:p>
    <w:p>
      <w:pPr>
        <w:pStyle w:val="Heading2"/>
        <w:spacing w:after="120" w:before="260"/>
      </w:pPr>
      <w:r>
        <w:t xml:space="preserve">Categorisation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91"/>
        <w:gridCol w:w="3952"/>
        <w:gridCol w:w="1871"/>
        <w:gridCol w:w="1912"/>
      </w:tblGrid>
      <w:tr>
        <w:trPr>
          <w:tblHeader/>
        </w:trPr>
        <w:tc>
          <w:tcPr>
            <w:tcW w:type="dxa" w:w="1291"/>
            <w:shd w:fill="E8EDF5" w:color="auto" w:val="clear"/>
            <w:tcMar>
              <w:top w:type="dxa" w:w="80"/>
              <w:left w:type="dxa" w:w="110"/>
              <w:bottom w:type="dxa" w:w="80"/>
              <w:right w:type="dxa" w:w="110"/>
            </w:tcMar>
          </w:tcPr>
          <w:p>
            <w:pPr>
              <w:spacing w:after="0" w:before="0"/>
            </w:pPr>
            <w:r>
              <w:rPr>
                <w:b/>
                <w:bCs/>
                <w:sz w:val="19"/>
                <w:szCs w:val="19"/>
              </w:rPr>
              <w:t xml:space="preserve">Category</w:t>
            </w:r>
          </w:p>
        </w:tc>
        <w:tc>
          <w:tcPr>
            <w:tcW w:type="dxa" w:w="3952"/>
            <w:shd w:fill="E8EDF5" w:color="auto" w:val="clear"/>
            <w:tcMar>
              <w:top w:type="dxa" w:w="80"/>
              <w:left w:type="dxa" w:w="110"/>
              <w:bottom w:type="dxa" w:w="80"/>
              <w:right w:type="dxa" w:w="110"/>
            </w:tcMar>
          </w:tcPr>
          <w:p>
            <w:pPr>
              <w:spacing w:after="0" w:before="0"/>
            </w:pPr>
            <w:r>
              <w:rPr>
                <w:b/>
                <w:bCs/>
                <w:sz w:val="19"/>
                <w:szCs w:val="19"/>
              </w:rPr>
              <w:t xml:space="preserve">Description</w:t>
            </w:r>
          </w:p>
        </w:tc>
        <w:tc>
          <w:tcPr>
            <w:tcW w:type="dxa" w:w="1871"/>
            <w:shd w:fill="E8EDF5" w:color="auto" w:val="clear"/>
            <w:tcMar>
              <w:top w:type="dxa" w:w="80"/>
              <w:left w:type="dxa" w:w="110"/>
              <w:bottom w:type="dxa" w:w="80"/>
              <w:right w:type="dxa" w:w="110"/>
            </w:tcMar>
          </w:tcPr>
          <w:p>
            <w:pPr>
              <w:spacing w:after="0" w:before="0"/>
            </w:pPr>
            <w:r>
              <w:rPr>
                <w:b/>
                <w:bCs/>
                <w:sz w:val="19"/>
                <w:szCs w:val="19"/>
              </w:rPr>
              <w:t xml:space="preserve">Team activated</w:t>
            </w:r>
          </w:p>
        </w:tc>
        <w:tc>
          <w:tcPr>
            <w:tcW w:type="dxa" w:w="1912"/>
            <w:shd w:fill="E8EDF5" w:color="auto" w:val="clear"/>
            <w:tcMar>
              <w:top w:type="dxa" w:w="80"/>
              <w:left w:type="dxa" w:w="110"/>
              <w:bottom w:type="dxa" w:w="80"/>
              <w:right w:type="dxa" w:w="110"/>
            </w:tcMar>
          </w:tcPr>
          <w:p>
            <w:pPr>
              <w:spacing w:after="0" w:before="0"/>
            </w:pPr>
            <w:r>
              <w:rPr>
                <w:b/>
                <w:bCs/>
                <w:sz w:val="19"/>
                <w:szCs w:val="19"/>
              </w:rPr>
              <w:t xml:space="preserve">Notification</w:t>
            </w:r>
          </w:p>
        </w:tc>
      </w:tr>
      <w:tr>
        <w:tc>
          <w:tcPr>
            <w:tcW w:type="dxa" w:w="1291"/>
            <w:tcMar>
              <w:top w:type="dxa" w:w="80"/>
              <w:left w:type="dxa" w:w="110"/>
              <w:bottom w:type="dxa" w:w="80"/>
              <w:right w:type="dxa" w:w="110"/>
            </w:tcMar>
          </w:tcPr>
          <w:p>
            <w:pPr>
              <w:spacing w:after="0" w:before="0"/>
            </w:pPr>
            <w:r>
              <w:rPr>
                <w:b/>
                <w:bCs/>
                <w:sz w:val="19"/>
                <w:szCs w:val="19"/>
              </w:rPr>
              <w:t xml:space="preserve">C0 — Event</w:t>
            </w:r>
          </w:p>
        </w:tc>
        <w:tc>
          <w:tcPr>
            <w:tcW w:type="dxa" w:w="3952"/>
            <w:tcMar>
              <w:top w:type="dxa" w:w="80"/>
              <w:left w:type="dxa" w:w="110"/>
              <w:bottom w:type="dxa" w:w="80"/>
              <w:right w:type="dxa" w:w="110"/>
            </w:tcMar>
          </w:tcPr>
          <w:p>
            <w:pPr>
              <w:spacing w:after="0" w:before="0"/>
            </w:pPr>
            <w:r>
              <w:rPr>
                <w:sz w:val="19"/>
                <w:szCs w:val="19"/>
              </w:rPr>
              <w:t xml:space="preserve">Unconfirmed; no established impact</w:t>
            </w:r>
          </w:p>
        </w:tc>
        <w:tc>
          <w:tcPr>
            <w:tcW w:type="dxa" w:w="1871"/>
            <w:tcMar>
              <w:top w:type="dxa" w:w="80"/>
              <w:left w:type="dxa" w:w="110"/>
              <w:bottom w:type="dxa" w:w="80"/>
              <w:right w:type="dxa" w:w="110"/>
            </w:tcMar>
          </w:tcPr>
          <w:p>
            <w:pPr>
              <w:spacing w:after="0" w:before="0"/>
            </w:pPr>
            <w:r>
              <w:rPr>
                <w:sz w:val="19"/>
                <w:szCs w:val="19"/>
              </w:rPr>
              <w:t xml:space="preserve">Duty Officer, business hours</w:t>
            </w:r>
          </w:p>
        </w:tc>
        <w:tc>
          <w:tcPr>
            <w:tcW w:type="dxa" w:w="1912"/>
            <w:tcMar>
              <w:top w:type="dxa" w:w="80"/>
              <w:left w:type="dxa" w:w="110"/>
              <w:bottom w:type="dxa" w:w="80"/>
              <w:right w:type="dxa" w:w="110"/>
            </w:tcMar>
          </w:tcPr>
          <w:p>
            <w:pPr>
              <w:spacing w:after="0" w:before="0"/>
            </w:pPr>
            <w:r>
              <w:rPr>
                <w:sz w:val="19"/>
                <w:szCs w:val="19"/>
              </w:rPr>
              <w:t xml:space="preserve">Logged</w:t>
            </w:r>
          </w:p>
        </w:tc>
      </w:tr>
      <w:tr>
        <w:tc>
          <w:tcPr>
            <w:tcW w:type="dxa" w:w="1291"/>
            <w:tcMar>
              <w:top w:type="dxa" w:w="80"/>
              <w:left w:type="dxa" w:w="110"/>
              <w:bottom w:type="dxa" w:w="80"/>
              <w:right w:type="dxa" w:w="110"/>
            </w:tcMar>
          </w:tcPr>
          <w:p>
            <w:pPr>
              <w:spacing w:after="0" w:before="0"/>
            </w:pPr>
            <w:r>
              <w:rPr>
                <w:b/>
                <w:bCs/>
                <w:sz w:val="19"/>
                <w:szCs w:val="19"/>
              </w:rPr>
              <w:t xml:space="preserve">C1 — Minor incident</w:t>
            </w:r>
          </w:p>
        </w:tc>
        <w:tc>
          <w:tcPr>
            <w:tcW w:type="dxa" w:w="3952"/>
            <w:tcMar>
              <w:top w:type="dxa" w:w="80"/>
              <w:left w:type="dxa" w:w="110"/>
              <w:bottom w:type="dxa" w:w="80"/>
              <w:right w:type="dxa" w:w="110"/>
            </w:tcMar>
          </w:tcPr>
          <w:p>
            <w:pPr>
              <w:spacing w:after="0" w:before="0"/>
            </w:pPr>
            <w:r>
              <w:rPr>
                <w:sz w:val="19"/>
                <w:szCs w:val="19"/>
              </w:rPr>
              <w:t xml:space="preserve">Confirmed compromise, minor impact. No personal data, no research IP, no safety implication</w:t>
            </w:r>
          </w:p>
        </w:tc>
        <w:tc>
          <w:tcPr>
            <w:tcW w:type="dxa" w:w="1871"/>
            <w:tcMar>
              <w:top w:type="dxa" w:w="80"/>
              <w:left w:type="dxa" w:w="110"/>
              <w:bottom w:type="dxa" w:w="80"/>
              <w:right w:type="dxa" w:w="110"/>
            </w:tcMar>
          </w:tcPr>
          <w:p>
            <w:pPr>
              <w:spacing w:after="0" w:before="0"/>
            </w:pPr>
            <w:r>
              <w:rPr>
                <w:sz w:val="19"/>
                <w:szCs w:val="19"/>
              </w:rPr>
              <w:t xml:space="preserve">Incident Handler; Incident Manager informed</w:t>
            </w:r>
          </w:p>
        </w:tc>
        <w:tc>
          <w:tcPr>
            <w:tcW w:type="dxa" w:w="1912"/>
            <w:tcMar>
              <w:top w:type="dxa" w:w="80"/>
              <w:left w:type="dxa" w:w="110"/>
              <w:bottom w:type="dxa" w:w="80"/>
              <w:right w:type="dxa" w:w="110"/>
            </w:tcMar>
          </w:tcPr>
          <w:p>
            <w:pPr>
              <w:spacing w:after="0" w:before="0"/>
            </w:pPr>
            <w:r>
              <w:rPr>
                <w:sz w:val="19"/>
                <w:szCs w:val="19"/>
              </w:rPr>
              <w:t xml:space="preserve">Internal</w:t>
            </w:r>
          </w:p>
        </w:tc>
      </w:tr>
      <w:tr>
        <w:tc>
          <w:tcPr>
            <w:tcW w:type="dxa" w:w="1291"/>
            <w:tcMar>
              <w:top w:type="dxa" w:w="80"/>
              <w:left w:type="dxa" w:w="110"/>
              <w:bottom w:type="dxa" w:w="80"/>
              <w:right w:type="dxa" w:w="110"/>
            </w:tcMar>
          </w:tcPr>
          <w:p>
            <w:pPr>
              <w:spacing w:after="0" w:before="0"/>
            </w:pPr>
            <w:r>
              <w:rPr>
                <w:b/>
                <w:bCs/>
                <w:sz w:val="19"/>
                <w:szCs w:val="19"/>
              </w:rPr>
              <w:t xml:space="preserve">C2 — Significant incident</w:t>
            </w:r>
          </w:p>
        </w:tc>
        <w:tc>
          <w:tcPr>
            <w:tcW w:type="dxa" w:w="3952"/>
            <w:tcMar>
              <w:top w:type="dxa" w:w="80"/>
              <w:left w:type="dxa" w:w="110"/>
              <w:bottom w:type="dxa" w:w="80"/>
              <w:right w:type="dxa" w:w="110"/>
            </w:tcMar>
          </w:tcPr>
          <w:p>
            <w:pPr>
              <w:spacing w:after="0" w:before="0"/>
            </w:pPr>
            <w:r>
              <w:rPr>
                <w:sz w:val="19"/>
                <w:szCs w:val="19"/>
              </w:rPr>
              <w:t xml:space="preserve">Involves </w:t>
            </w:r>
            <w:r>
              <w:rPr>
                <w:b/>
                <w:bCs/>
                <w:sz w:val="19"/>
                <w:szCs w:val="19"/>
              </w:rPr>
              <w:t xml:space="preserve">research IP or formulation data</w:t>
            </w:r>
            <w:r>
              <w:rPr>
                <w:sz w:val="19"/>
                <w:szCs w:val="19"/>
              </w:rPr>
              <w:t xml:space="preserve">; </w:t>
            </w:r>
            <w:r>
              <w:rPr>
                <w:b/>
                <w:bCs/>
                <w:sz w:val="19"/>
                <w:szCs w:val="19"/>
              </w:rPr>
              <w:t xml:space="preserve">personal data</w:t>
            </w:r>
            <w:r>
              <w:rPr>
                <w:sz w:val="19"/>
                <w:szCs w:val="19"/>
              </w:rPr>
              <w:t xml:space="preserve">; multiple systems; a third party; or material service disruption</w:t>
            </w:r>
          </w:p>
        </w:tc>
        <w:tc>
          <w:tcPr>
            <w:tcW w:type="dxa" w:w="1871"/>
            <w:tcMar>
              <w:top w:type="dxa" w:w="80"/>
              <w:left w:type="dxa" w:w="110"/>
              <w:bottom w:type="dxa" w:w="80"/>
              <w:right w:type="dxa" w:w="110"/>
            </w:tcMar>
          </w:tcPr>
          <w:p>
            <w:pPr>
              <w:spacing w:after="0" w:before="0"/>
            </w:pPr>
            <w:r>
              <w:rPr>
                <w:b/>
                <w:bCs/>
                <w:sz w:val="19"/>
                <w:szCs w:val="19"/>
              </w:rPr>
              <w:t xml:space="preserve">IMT activated</w:t>
            </w:r>
            <w:r>
              <w:rPr>
                <w:sz w:val="19"/>
                <w:szCs w:val="19"/>
              </w:rPr>
              <w:t xml:space="preserve">; SEMT notified</w:t>
            </w:r>
          </w:p>
        </w:tc>
        <w:tc>
          <w:tcPr>
            <w:tcW w:type="dxa" w:w="1912"/>
            <w:tcMar>
              <w:top w:type="dxa" w:w="80"/>
              <w:left w:type="dxa" w:w="110"/>
              <w:bottom w:type="dxa" w:w="80"/>
              <w:right w:type="dxa" w:w="110"/>
            </w:tcMar>
          </w:tcPr>
          <w:p>
            <w:pPr>
              <w:spacing w:after="0" w:before="0"/>
            </w:pPr>
            <w:r>
              <w:rPr>
                <w:sz w:val="19"/>
                <w:szCs w:val="19"/>
              </w:rPr>
              <w:t xml:space="preserve">GDPR and NIS2 clocks assessed immediately (section 6)</w:t>
            </w:r>
          </w:p>
        </w:tc>
      </w:tr>
      <w:tr>
        <w:tc>
          <w:tcPr>
            <w:tcW w:type="dxa" w:w="1291"/>
            <w:tcMar>
              <w:top w:type="dxa" w:w="80"/>
              <w:left w:type="dxa" w:w="110"/>
              <w:bottom w:type="dxa" w:w="80"/>
              <w:right w:type="dxa" w:w="110"/>
            </w:tcMar>
          </w:tcPr>
          <w:p>
            <w:pPr>
              <w:spacing w:after="0" w:before="0"/>
            </w:pPr>
            <w:r>
              <w:rPr>
                <w:b/>
                <w:bCs/>
                <w:sz w:val="19"/>
                <w:szCs w:val="19"/>
              </w:rPr>
              <w:t xml:space="preserve">C3 — Cyber emergency</w:t>
            </w:r>
          </w:p>
        </w:tc>
        <w:tc>
          <w:tcPr>
            <w:tcW w:type="dxa" w:w="3952"/>
            <w:tcMar>
              <w:top w:type="dxa" w:w="80"/>
              <w:left w:type="dxa" w:w="110"/>
              <w:bottom w:type="dxa" w:w="80"/>
              <w:right w:type="dxa" w:w="110"/>
            </w:tcMar>
          </w:tcPr>
          <w:p>
            <w:pPr>
              <w:spacing w:after="0" w:before="0"/>
            </w:pPr>
            <w:r>
              <w:rPr>
                <w:sz w:val="19"/>
                <w:szCs w:val="19"/>
              </w:rPr>
              <w:t xml:space="preserve">Threatens Oscorp's ability to operate, the integrity of data supporting a marketed medicine, patient safety, or carries imminent public or regulatory exposure</w:t>
            </w:r>
          </w:p>
        </w:tc>
        <w:tc>
          <w:tcPr>
            <w:tcW w:type="dxa" w:w="1871"/>
            <w:tcMar>
              <w:top w:type="dxa" w:w="80"/>
              <w:left w:type="dxa" w:w="110"/>
              <w:bottom w:type="dxa" w:w="80"/>
              <w:right w:type="dxa" w:w="110"/>
            </w:tcMar>
          </w:tcPr>
          <w:p>
            <w:pPr>
              <w:spacing w:after="0" w:before="0"/>
            </w:pPr>
            <w:r>
              <w:rPr>
                <w:b/>
                <w:bCs/>
                <w:sz w:val="19"/>
                <w:szCs w:val="19"/>
              </w:rPr>
              <w:t xml:space="preserve">IMT and SEMT convened</w:t>
            </w:r>
          </w:p>
        </w:tc>
        <w:tc>
          <w:tcPr>
            <w:tcW w:type="dxa" w:w="1912"/>
            <w:tcMar>
              <w:top w:type="dxa" w:w="80"/>
              <w:left w:type="dxa" w:w="110"/>
              <w:bottom w:type="dxa" w:w="80"/>
              <w:right w:type="dxa" w:w="110"/>
            </w:tcMar>
          </w:tcPr>
          <w:p>
            <w:pPr>
              <w:spacing w:after="0" w:before="0"/>
            </w:pPr>
            <w:r>
              <w:rPr>
                <w:sz w:val="19"/>
                <w:szCs w:val="19"/>
              </w:rPr>
              <w:t xml:space="preserve">Regulators, board, external IR provider; communications on standby</w:t>
            </w:r>
          </w:p>
        </w:tc>
      </w:tr>
    </w:tbl>
    <w:p>
      <w:pPr>
        <w:spacing w:after="160"/>
      </w:pPr>
      <w:r>
        <w:t xml:space="preserve"/>
      </w:r>
    </w:p>
    <w:p>
      <w:pPr>
        <w:pStyle w:val="Heading2"/>
        <w:spacing w:after="120" w:before="260"/>
      </w:pPr>
      <w:r>
        <w:t xml:space="preserve">Escalation triggers</w:t>
      </w:r>
    </w:p>
    <w:p>
      <w:pPr>
        <w:spacing w:after="140" w:line="276"/>
        <w:jc w:val="both"/>
      </w:pPr>
      <w:r>
        <w:t xml:space="preserve">Any of the following raises the category immediately, without discussion:</w:t>
      </w:r>
    </w:p>
    <w:p>
      <w:pPr>
        <w:pStyle w:val="ListParagraph"/>
        <w:numPr>
          <w:ilvl w:val="0"/>
          <w:numId w:val="2"/>
        </w:numPr>
        <w:spacing w:after="90" w:line="276"/>
      </w:pPr>
      <w:r>
        <w:t xml:space="preserve">Research IP or formulation data accessed, altered or exfiltrated — confirmed or suspected</w:t>
      </w:r>
    </w:p>
    <w:p>
      <w:pPr>
        <w:pStyle w:val="ListParagraph"/>
        <w:numPr>
          <w:ilvl w:val="0"/>
          <w:numId w:val="2"/>
        </w:numPr>
        <w:spacing w:after="90" w:line="276"/>
      </w:pPr>
      <w:r>
        <w:t xml:space="preserve">Personal data exposed — confirmed or suspected</w:t>
      </w:r>
    </w:p>
    <w:p>
      <w:pPr>
        <w:pStyle w:val="ListParagraph"/>
        <w:numPr>
          <w:ilvl w:val="0"/>
          <w:numId w:val="2"/>
        </w:numPr>
        <w:spacing w:after="90" w:line="276"/>
      </w:pPr>
      <w:r>
        <w:rPr>
          <w:b/>
          <w:bCs/>
        </w:rPr>
        <w:t xml:space="preserve">Any indication that research or clinical data integrity has been affected.</w:t>
      </w:r>
      <w:r>
        <w:t xml:space="preserve"> Oscorp's medicine is on the market; this is a potential patient safety and pharmacovigilance matter, not only a security one</w:t>
      </w:r>
    </w:p>
    <w:p>
      <w:pPr>
        <w:pStyle w:val="ListParagraph"/>
        <w:numPr>
          <w:ilvl w:val="0"/>
          <w:numId w:val="2"/>
        </w:numPr>
        <w:spacing w:after="90" w:line="276"/>
      </w:pPr>
      <w:r>
        <w:t xml:space="preserve">Evidence of an insider, or of an attacker holding privileged access</w:t>
      </w:r>
    </w:p>
    <w:p>
      <w:pPr>
        <w:pStyle w:val="ListParagraph"/>
        <w:numPr>
          <w:ilvl w:val="0"/>
          <w:numId w:val="2"/>
        </w:numPr>
        <w:spacing w:after="90" w:line="276"/>
      </w:pPr>
      <w:r>
        <w:t xml:space="preserve">Any laboratory system or networked instrument affected</w:t>
      </w:r>
    </w:p>
    <w:p>
      <w:pPr>
        <w:pStyle w:val="ListParagraph"/>
        <w:numPr>
          <w:ilvl w:val="0"/>
          <w:numId w:val="2"/>
        </w:numPr>
        <w:spacing w:after="90" w:line="276"/>
      </w:pPr>
      <w:r>
        <w:t xml:space="preserve">Contact from media, a regulator or law enforcement</w:t>
      </w:r>
    </w:p>
    <w:p>
      <w:pPr>
        <w:pStyle w:val="ListParagraph"/>
        <w:numPr>
          <w:ilvl w:val="0"/>
          <w:numId w:val="2"/>
        </w:numPr>
        <w:spacing w:after="90" w:line="276"/>
      </w:pPr>
      <w:r>
        <w:t xml:space="preserve">Incident not contained within </w:t>
      </w:r>
      <w:r>
        <w:rPr>
          <w:rFonts w:ascii="Consolas" w:cs="Consolas" w:eastAsia="Consolas" w:hAnsi="Consolas"/>
          <w:sz w:val="19"/>
          <w:szCs w:val="19"/>
        </w:rPr>
        <w:t xml:space="preserve">&lt;4 hours&gt;</w:t>
      </w:r>
      <w:r>
        <w:t xml:space="preserve"> of confirmation</w:t>
      </w:r>
    </w:p>
    <w:p>
      <w:pPr>
        <w:spacing w:after="140" w:line="276"/>
        <w:jc w:val="both"/>
      </w:pPr>
      <w:r>
        <w:t xml:space="preserve">De-escalation requires the Incident Manager's agreement, and the SEMT Chair's at C2 and above.</w:t>
      </w:r>
    </w:p>
    <w:p>
      <w:pPr>
        <w:pBdr>
          <w:bottom w:val="single" w:color="C6CEDC" w:sz="6" w:space="6"/>
        </w:pBdr>
        <w:spacing w:after="160" w:before="60"/>
      </w:pPr>
      <w:r>
        <w:t xml:space="preserve"/>
      </w:r>
    </w:p>
    <w:p>
      <w:pPr>
        <w:pStyle w:val="Heading1"/>
        <w:spacing w:after="120" w:before="260"/>
      </w:pPr>
      <w:r>
        <w:t xml:space="preserve">4. Roles</w:t>
      </w:r>
    </w:p>
    <w:p>
      <w:pPr>
        <w:spacing w:after="140" w:line="276"/>
        <w:jc w:val="both"/>
      </w:pPr>
      <w:r>
        <w:t xml:space="preserve">ENISA role names are used so the plan aligns with the vocabulary Oscorp's CSIRT contacts and external providers will expect.</w:t>
      </w:r>
    </w:p>
    <w:p>
      <w:pPr>
        <w:pStyle w:val="Heading2"/>
        <w:spacing w:after="120" w:before="260"/>
      </w:pPr>
      <w:r>
        <w:t xml:space="preserve">4.1 Incident Management Team — operational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96"/>
        <w:gridCol w:w="1471"/>
        <w:gridCol w:w="5359"/>
      </w:tblGrid>
      <w:tr>
        <w:trPr>
          <w:tblHeader/>
        </w:trPr>
        <w:tc>
          <w:tcPr>
            <w:tcW w:type="dxa" w:w="2196"/>
            <w:shd w:fill="E8EDF5" w:color="auto" w:val="clear"/>
            <w:tcMar>
              <w:top w:type="dxa" w:w="80"/>
              <w:left w:type="dxa" w:w="110"/>
              <w:bottom w:type="dxa" w:w="80"/>
              <w:right w:type="dxa" w:w="110"/>
            </w:tcMar>
          </w:tcPr>
          <w:p>
            <w:pPr>
              <w:spacing w:after="0" w:before="0"/>
            </w:pPr>
            <w:r>
              <w:rPr>
                <w:b/>
                <w:bCs/>
                <w:sz w:val="19"/>
                <w:szCs w:val="19"/>
              </w:rPr>
              <w:t xml:space="preserve">ENISA role</w:t>
            </w:r>
          </w:p>
        </w:tc>
        <w:tc>
          <w:tcPr>
            <w:tcW w:type="dxa" w:w="1471"/>
            <w:shd w:fill="E8EDF5" w:color="auto" w:val="clear"/>
            <w:tcMar>
              <w:top w:type="dxa" w:w="80"/>
              <w:left w:type="dxa" w:w="110"/>
              <w:bottom w:type="dxa" w:w="80"/>
              <w:right w:type="dxa" w:w="110"/>
            </w:tcMar>
          </w:tcPr>
          <w:p>
            <w:pPr>
              <w:spacing w:after="0" w:before="0"/>
            </w:pPr>
            <w:r>
              <w:rPr>
                <w:b/>
                <w:bCs/>
                <w:sz w:val="19"/>
                <w:szCs w:val="19"/>
              </w:rPr>
              <w:t xml:space="preserve">Held by</w:t>
            </w:r>
          </w:p>
        </w:tc>
        <w:tc>
          <w:tcPr>
            <w:tcW w:type="dxa" w:w="5359"/>
            <w:shd w:fill="E8EDF5" w:color="auto" w:val="clear"/>
            <w:tcMar>
              <w:top w:type="dxa" w:w="80"/>
              <w:left w:type="dxa" w:w="110"/>
              <w:bottom w:type="dxa" w:w="80"/>
              <w:right w:type="dxa" w:w="110"/>
            </w:tcMar>
          </w:tcPr>
          <w:p>
            <w:pPr>
              <w:spacing w:after="0" w:before="0"/>
            </w:pPr>
            <w:r>
              <w:rPr>
                <w:b/>
                <w:bCs/>
                <w:sz w:val="19"/>
                <w:szCs w:val="19"/>
              </w:rPr>
              <w:t xml:space="preserve">Responsibility</w:t>
            </w:r>
          </w:p>
        </w:tc>
      </w:tr>
      <w:tr>
        <w:tc>
          <w:tcPr>
            <w:tcW w:type="dxa" w:w="2196"/>
            <w:tcMar>
              <w:top w:type="dxa" w:w="80"/>
              <w:left w:type="dxa" w:w="110"/>
              <w:bottom w:type="dxa" w:w="80"/>
              <w:right w:type="dxa" w:w="110"/>
            </w:tcMar>
          </w:tcPr>
          <w:p>
            <w:pPr>
              <w:spacing w:after="0" w:before="0"/>
            </w:pPr>
            <w:r>
              <w:rPr>
                <w:b/>
                <w:bCs/>
                <w:sz w:val="19"/>
                <w:szCs w:val="19"/>
              </w:rPr>
              <w:t xml:space="preserve">Duty Officer</w:t>
            </w:r>
          </w:p>
        </w:tc>
        <w:tc>
          <w:tcPr>
            <w:tcW w:type="dxa" w:w="1471"/>
            <w:tcMar>
              <w:top w:type="dxa" w:w="80"/>
              <w:left w:type="dxa" w:w="110"/>
              <w:bottom w:type="dxa" w:w="80"/>
              <w:right w:type="dxa" w:w="110"/>
            </w:tcMar>
          </w:tcPr>
          <w:p>
            <w:pPr>
              <w:spacing w:after="0" w:before="0"/>
            </w:pPr>
            <w:r>
              <w:rPr>
                <w:rFonts w:ascii="Consolas" w:cs="Consolas" w:eastAsia="Consolas" w:hAnsi="Consolas"/>
                <w:sz w:val="19"/>
                <w:szCs w:val="19"/>
              </w:rPr>
              <w:t xml:space="preserve">&lt;rota&gt;</w:t>
            </w:r>
          </w:p>
        </w:tc>
        <w:tc>
          <w:tcPr>
            <w:tcW w:type="dxa" w:w="5359"/>
            <w:tcMar>
              <w:top w:type="dxa" w:w="80"/>
              <w:left w:type="dxa" w:w="110"/>
              <w:bottom w:type="dxa" w:w="80"/>
              <w:right w:type="dxa" w:w="110"/>
            </w:tcMar>
          </w:tcPr>
          <w:p>
            <w:pPr>
              <w:spacing w:after="0" w:before="0"/>
            </w:pPr>
            <w:r>
              <w:rPr>
                <w:sz w:val="19"/>
                <w:szCs w:val="19"/>
              </w:rPr>
              <w:t xml:space="preserve">First receipt of reports and alerts; initial logging</w:t>
            </w:r>
          </w:p>
        </w:tc>
      </w:tr>
      <w:tr>
        <w:tc>
          <w:tcPr>
            <w:tcW w:type="dxa" w:w="2196"/>
            <w:tcMar>
              <w:top w:type="dxa" w:w="80"/>
              <w:left w:type="dxa" w:w="110"/>
              <w:bottom w:type="dxa" w:w="80"/>
              <w:right w:type="dxa" w:w="110"/>
            </w:tcMar>
          </w:tcPr>
          <w:p>
            <w:pPr>
              <w:spacing w:after="0" w:before="0"/>
            </w:pPr>
            <w:r>
              <w:rPr>
                <w:b/>
                <w:bCs/>
                <w:sz w:val="19"/>
                <w:szCs w:val="19"/>
              </w:rPr>
              <w:t xml:space="preserve">Triage Officer</w:t>
            </w:r>
          </w:p>
        </w:tc>
        <w:tc>
          <w:tcPr>
            <w:tcW w:type="dxa" w:w="1471"/>
            <w:tcMar>
              <w:top w:type="dxa" w:w="80"/>
              <w:left w:type="dxa" w:w="110"/>
              <w:bottom w:type="dxa" w:w="80"/>
              <w:right w:type="dxa" w:w="110"/>
            </w:tcMar>
          </w:tcPr>
          <w:p>
            <w:pPr>
              <w:spacing w:after="0" w:before="0"/>
            </w:pPr>
            <w:r>
              <w:rPr>
                <w:rFonts w:ascii="Consolas" w:cs="Consolas" w:eastAsia="Consolas" w:hAnsi="Consolas"/>
                <w:sz w:val="19"/>
                <w:szCs w:val="19"/>
              </w:rPr>
              <w:t xml:space="preserve">&lt;name&gt;</w:t>
            </w:r>
          </w:p>
        </w:tc>
        <w:tc>
          <w:tcPr>
            <w:tcW w:type="dxa" w:w="5359"/>
            <w:tcMar>
              <w:top w:type="dxa" w:w="80"/>
              <w:left w:type="dxa" w:w="110"/>
              <w:bottom w:type="dxa" w:w="80"/>
              <w:right w:type="dxa" w:w="110"/>
            </w:tcMar>
          </w:tcPr>
          <w:p>
            <w:pPr>
              <w:spacing w:after="0" w:before="0"/>
            </w:pPr>
            <w:r>
              <w:rPr>
                <w:sz w:val="19"/>
                <w:szCs w:val="19"/>
              </w:rPr>
              <w:t xml:space="preserve">Categorisation against section 3; assignment</w:t>
            </w:r>
          </w:p>
        </w:tc>
      </w:tr>
      <w:tr>
        <w:tc>
          <w:tcPr>
            <w:tcW w:type="dxa" w:w="2196"/>
            <w:tcMar>
              <w:top w:type="dxa" w:w="80"/>
              <w:left w:type="dxa" w:w="110"/>
              <w:bottom w:type="dxa" w:w="80"/>
              <w:right w:type="dxa" w:w="110"/>
            </w:tcMar>
          </w:tcPr>
          <w:p>
            <w:pPr>
              <w:spacing w:after="0" w:before="0"/>
            </w:pPr>
            <w:r>
              <w:rPr>
                <w:b/>
                <w:bCs/>
                <w:sz w:val="19"/>
                <w:szCs w:val="19"/>
              </w:rPr>
              <w:t xml:space="preserve">Incident Handler</w:t>
            </w:r>
          </w:p>
        </w:tc>
        <w:tc>
          <w:tcPr>
            <w:tcW w:type="dxa" w:w="1471"/>
            <w:tcMar>
              <w:top w:type="dxa" w:w="80"/>
              <w:left w:type="dxa" w:w="110"/>
              <w:bottom w:type="dxa" w:w="80"/>
              <w:right w:type="dxa" w:w="110"/>
            </w:tcMar>
          </w:tcPr>
          <w:p>
            <w:pPr>
              <w:spacing w:after="0" w:before="0"/>
            </w:pPr>
            <w:r>
              <w:rPr>
                <w:rFonts w:ascii="Consolas" w:cs="Consolas" w:eastAsia="Consolas" w:hAnsi="Consolas"/>
                <w:sz w:val="19"/>
                <w:szCs w:val="19"/>
              </w:rPr>
              <w:t xml:space="preserve">&lt;name&gt;</w:t>
            </w:r>
          </w:p>
        </w:tc>
        <w:tc>
          <w:tcPr>
            <w:tcW w:type="dxa" w:w="5359"/>
            <w:tcMar>
              <w:top w:type="dxa" w:w="80"/>
              <w:left w:type="dxa" w:w="110"/>
              <w:bottom w:type="dxa" w:w="80"/>
              <w:right w:type="dxa" w:w="110"/>
            </w:tcMar>
          </w:tcPr>
          <w:p>
            <w:pPr>
              <w:spacing w:after="0" w:before="0"/>
            </w:pPr>
            <w:r>
              <w:rPr>
                <w:sz w:val="19"/>
                <w:szCs w:val="19"/>
              </w:rPr>
              <w:t xml:space="preserve">Investigation, containment, eradication, recovery</w:t>
            </w:r>
          </w:p>
        </w:tc>
      </w:tr>
      <w:tr>
        <w:tc>
          <w:tcPr>
            <w:tcW w:type="dxa" w:w="2196"/>
            <w:tcMar>
              <w:top w:type="dxa" w:w="80"/>
              <w:left w:type="dxa" w:w="110"/>
              <w:bottom w:type="dxa" w:w="80"/>
              <w:right w:type="dxa" w:w="110"/>
            </w:tcMar>
          </w:tcPr>
          <w:p>
            <w:pPr>
              <w:spacing w:after="0" w:before="0"/>
            </w:pPr>
            <w:r>
              <w:rPr>
                <w:b/>
                <w:bCs/>
                <w:sz w:val="19"/>
                <w:szCs w:val="19"/>
              </w:rPr>
              <w:t xml:space="preserve">Incident Manager</w:t>
            </w:r>
          </w:p>
        </w:tc>
        <w:tc>
          <w:tcPr>
            <w:tcW w:type="dxa" w:w="1471"/>
            <w:tcMar>
              <w:top w:type="dxa" w:w="80"/>
              <w:left w:type="dxa" w:w="110"/>
              <w:bottom w:type="dxa" w:w="80"/>
              <w:right w:type="dxa" w:w="110"/>
            </w:tcMar>
          </w:tcPr>
          <w:p>
            <w:pPr>
              <w:spacing w:after="0" w:before="0"/>
            </w:pPr>
            <w:r>
              <w:rPr>
                <w:rFonts w:ascii="Consolas" w:cs="Consolas" w:eastAsia="Consolas" w:hAnsi="Consolas"/>
                <w:sz w:val="19"/>
                <w:szCs w:val="19"/>
              </w:rPr>
              <w:t xml:space="preserve">&lt;Head of IT / Security&gt;</w:t>
            </w:r>
          </w:p>
        </w:tc>
        <w:tc>
          <w:tcPr>
            <w:tcW w:type="dxa" w:w="5359"/>
            <w:tcMar>
              <w:top w:type="dxa" w:w="80"/>
              <w:left w:type="dxa" w:w="110"/>
              <w:bottom w:type="dxa" w:w="80"/>
              <w:right w:type="dxa" w:w="110"/>
            </w:tcMar>
          </w:tcPr>
          <w:p>
            <w:pPr>
              <w:spacing w:after="0" w:before="0"/>
            </w:pPr>
            <w:r>
              <w:rPr>
                <w:sz w:val="19"/>
                <w:szCs w:val="19"/>
              </w:rPr>
              <w:t xml:space="preserve">Directs the response; owns categorisation and escalation decisions</w:t>
            </w:r>
          </w:p>
        </w:tc>
      </w:tr>
      <w:tr>
        <w:tc>
          <w:tcPr>
            <w:tcW w:type="dxa" w:w="2196"/>
            <w:tcMar>
              <w:top w:type="dxa" w:w="80"/>
              <w:left w:type="dxa" w:w="110"/>
              <w:bottom w:type="dxa" w:w="80"/>
              <w:right w:type="dxa" w:w="110"/>
            </w:tcMar>
          </w:tcPr>
          <w:p>
            <w:pPr>
              <w:spacing w:after="0" w:before="0"/>
            </w:pPr>
            <w:r>
              <w:rPr>
                <w:b/>
                <w:bCs/>
                <w:sz w:val="19"/>
                <w:szCs w:val="19"/>
              </w:rPr>
              <w:t xml:space="preserve">Legal Officer</w:t>
            </w:r>
          </w:p>
        </w:tc>
        <w:tc>
          <w:tcPr>
            <w:tcW w:type="dxa" w:w="1471"/>
            <w:tcMar>
              <w:top w:type="dxa" w:w="80"/>
              <w:left w:type="dxa" w:w="110"/>
              <w:bottom w:type="dxa" w:w="80"/>
              <w:right w:type="dxa" w:w="110"/>
            </w:tcMar>
          </w:tcPr>
          <w:p>
            <w:pPr>
              <w:spacing w:after="0" w:before="0"/>
            </w:pPr>
            <w:r>
              <w:rPr>
                <w:rFonts w:ascii="Consolas" w:cs="Consolas" w:eastAsia="Consolas" w:hAnsi="Consolas"/>
                <w:sz w:val="19"/>
                <w:szCs w:val="19"/>
              </w:rPr>
              <w:t xml:space="preserve">&lt;name / external counsel&gt;</w:t>
            </w:r>
          </w:p>
        </w:tc>
        <w:tc>
          <w:tcPr>
            <w:tcW w:type="dxa" w:w="5359"/>
            <w:tcMar>
              <w:top w:type="dxa" w:w="80"/>
              <w:left w:type="dxa" w:w="110"/>
              <w:bottom w:type="dxa" w:w="80"/>
              <w:right w:type="dxa" w:w="110"/>
            </w:tcMar>
          </w:tcPr>
          <w:p>
            <w:pPr>
              <w:spacing w:after="0" w:before="0"/>
            </w:pPr>
            <w:r>
              <w:rPr>
                <w:sz w:val="19"/>
                <w:szCs w:val="19"/>
              </w:rPr>
              <w:t xml:space="preserve">Regulatory obligations, privilege, law enforcement liaison</w:t>
            </w:r>
          </w:p>
        </w:tc>
      </w:tr>
      <w:tr>
        <w:tc>
          <w:tcPr>
            <w:tcW w:type="dxa" w:w="2196"/>
            <w:tcMar>
              <w:top w:type="dxa" w:w="80"/>
              <w:left w:type="dxa" w:w="110"/>
              <w:bottom w:type="dxa" w:w="80"/>
              <w:right w:type="dxa" w:w="110"/>
            </w:tcMar>
          </w:tcPr>
          <w:p>
            <w:pPr>
              <w:spacing w:after="0" w:before="0"/>
            </w:pPr>
            <w:r>
              <w:rPr>
                <w:b/>
                <w:bCs/>
                <w:sz w:val="19"/>
                <w:szCs w:val="19"/>
              </w:rPr>
              <w:t xml:space="preserve">Public Relations Officer</w:t>
            </w:r>
          </w:p>
        </w:tc>
        <w:tc>
          <w:tcPr>
            <w:tcW w:type="dxa" w:w="1471"/>
            <w:tcMar>
              <w:top w:type="dxa" w:w="80"/>
              <w:left w:type="dxa" w:w="110"/>
              <w:bottom w:type="dxa" w:w="80"/>
              <w:right w:type="dxa" w:w="110"/>
            </w:tcMar>
          </w:tcPr>
          <w:p>
            <w:pPr>
              <w:spacing w:after="0" w:before="0"/>
            </w:pPr>
            <w:r>
              <w:rPr>
                <w:rFonts w:ascii="Consolas" w:cs="Consolas" w:eastAsia="Consolas" w:hAnsi="Consolas"/>
                <w:sz w:val="19"/>
                <w:szCs w:val="19"/>
              </w:rPr>
              <w:t xml:space="preserve">&lt;name&gt;</w:t>
            </w:r>
          </w:p>
        </w:tc>
        <w:tc>
          <w:tcPr>
            <w:tcW w:type="dxa" w:w="5359"/>
            <w:tcMar>
              <w:top w:type="dxa" w:w="80"/>
              <w:left w:type="dxa" w:w="110"/>
              <w:bottom w:type="dxa" w:w="80"/>
              <w:right w:type="dxa" w:w="110"/>
            </w:tcMar>
          </w:tcPr>
          <w:p>
            <w:pPr>
              <w:spacing w:after="0" w:before="0"/>
            </w:pPr>
            <w:r>
              <w:rPr>
                <w:sz w:val="19"/>
                <w:szCs w:val="19"/>
              </w:rPr>
              <w:t xml:space="preserve">Internal messaging; drafts external statements</w:t>
            </w:r>
          </w:p>
        </w:tc>
      </w:tr>
      <w:tr>
        <w:tc>
          <w:tcPr>
            <w:tcW w:type="dxa" w:w="2196"/>
            <w:tcMar>
              <w:top w:type="dxa" w:w="80"/>
              <w:left w:type="dxa" w:w="110"/>
              <w:bottom w:type="dxa" w:w="80"/>
              <w:right w:type="dxa" w:w="110"/>
            </w:tcMar>
          </w:tcPr>
          <w:p>
            <w:pPr>
              <w:spacing w:after="0" w:before="0"/>
            </w:pPr>
            <w:r>
              <w:rPr>
                <w:sz w:val="19"/>
                <w:szCs w:val="19"/>
              </w:rPr>
              <w:t xml:space="preserve">Research systems liaison</w:t>
            </w:r>
          </w:p>
        </w:tc>
        <w:tc>
          <w:tcPr>
            <w:tcW w:type="dxa" w:w="1471"/>
            <w:tcMar>
              <w:top w:type="dxa" w:w="80"/>
              <w:left w:type="dxa" w:w="110"/>
              <w:bottom w:type="dxa" w:w="80"/>
              <w:right w:type="dxa" w:w="110"/>
            </w:tcMar>
          </w:tcPr>
          <w:p>
            <w:pPr>
              <w:spacing w:after="0" w:before="0"/>
            </w:pPr>
            <w:r>
              <w:rPr>
                <w:rFonts w:ascii="Consolas" w:cs="Consolas" w:eastAsia="Consolas" w:hAnsi="Consolas"/>
                <w:sz w:val="19"/>
                <w:szCs w:val="19"/>
              </w:rPr>
              <w:t xml:space="preserve">&lt;name&gt;</w:t>
            </w:r>
          </w:p>
        </w:tc>
        <w:tc>
          <w:tcPr>
            <w:tcW w:type="dxa" w:w="5359"/>
            <w:tcMar>
              <w:top w:type="dxa" w:w="80"/>
              <w:left w:type="dxa" w:w="110"/>
              <w:bottom w:type="dxa" w:w="80"/>
              <w:right w:type="dxa" w:w="110"/>
            </w:tcMar>
          </w:tcPr>
          <w:p>
            <w:pPr>
              <w:spacing w:after="0" w:before="0"/>
            </w:pPr>
            <w:r>
              <w:rPr>
                <w:sz w:val="19"/>
                <w:szCs w:val="19"/>
              </w:rPr>
              <w:t xml:space="preserve">Laboratory systems and research data estate</w:t>
            </w:r>
          </w:p>
        </w:tc>
      </w:tr>
      <w:tr>
        <w:tc>
          <w:tcPr>
            <w:tcW w:type="dxa" w:w="2196"/>
            <w:tcMar>
              <w:top w:type="dxa" w:w="80"/>
              <w:left w:type="dxa" w:w="110"/>
              <w:bottom w:type="dxa" w:w="80"/>
              <w:right w:type="dxa" w:w="110"/>
            </w:tcMar>
          </w:tcPr>
          <w:p>
            <w:pPr>
              <w:spacing w:after="0" w:before="0"/>
            </w:pPr>
            <w:r>
              <w:rPr>
                <w:sz w:val="19"/>
                <w:szCs w:val="19"/>
              </w:rPr>
              <w:t xml:space="preserve">Records</w:t>
            </w:r>
          </w:p>
        </w:tc>
        <w:tc>
          <w:tcPr>
            <w:tcW w:type="dxa" w:w="1471"/>
            <w:tcMar>
              <w:top w:type="dxa" w:w="80"/>
              <w:left w:type="dxa" w:w="110"/>
              <w:bottom w:type="dxa" w:w="80"/>
              <w:right w:type="dxa" w:w="110"/>
            </w:tcMar>
          </w:tcPr>
          <w:p>
            <w:pPr>
              <w:spacing w:after="0" w:before="0"/>
            </w:pPr>
            <w:r>
              <w:rPr>
                <w:rFonts w:ascii="Consolas" w:cs="Consolas" w:eastAsia="Consolas" w:hAnsi="Consolas"/>
                <w:sz w:val="19"/>
                <w:szCs w:val="19"/>
              </w:rPr>
              <w:t xml:space="preserve">&lt;name&gt;</w:t>
            </w:r>
          </w:p>
        </w:tc>
        <w:tc>
          <w:tcPr>
            <w:tcW w:type="dxa" w:w="5359"/>
            <w:tcMar>
              <w:top w:type="dxa" w:w="80"/>
              <w:left w:type="dxa" w:w="110"/>
              <w:bottom w:type="dxa" w:w="80"/>
              <w:right w:type="dxa" w:w="110"/>
            </w:tcMar>
          </w:tcPr>
          <w:p>
            <w:pPr>
              <w:spacing w:after="0" w:before="0"/>
            </w:pPr>
            <w:r>
              <w:rPr>
                <w:sz w:val="19"/>
                <w:szCs w:val="19"/>
              </w:rPr>
              <w:t xml:space="preserve">Incident log, evidence register, situation reports</w:t>
            </w:r>
          </w:p>
        </w:tc>
      </w:tr>
      <w:tr>
        <w:tc>
          <w:tcPr>
            <w:tcW w:type="dxa" w:w="2196"/>
            <w:tcMar>
              <w:top w:type="dxa" w:w="80"/>
              <w:left w:type="dxa" w:w="110"/>
              <w:bottom w:type="dxa" w:w="80"/>
              <w:right w:type="dxa" w:w="110"/>
            </w:tcMar>
          </w:tcPr>
          <w:p>
            <w:pPr>
              <w:spacing w:after="0" w:before="0"/>
            </w:pPr>
            <w:r>
              <w:rPr>
                <w:sz w:val="19"/>
                <w:szCs w:val="19"/>
              </w:rPr>
              <w:t xml:space="preserve">Data Protection Officer</w:t>
            </w:r>
          </w:p>
        </w:tc>
        <w:tc>
          <w:tcPr>
            <w:tcW w:type="dxa" w:w="1471"/>
            <w:tcMar>
              <w:top w:type="dxa" w:w="80"/>
              <w:left w:type="dxa" w:w="110"/>
              <w:bottom w:type="dxa" w:w="80"/>
              <w:right w:type="dxa" w:w="110"/>
            </w:tcMar>
          </w:tcPr>
          <w:p>
            <w:pPr>
              <w:spacing w:after="0" w:before="0"/>
            </w:pPr>
            <w:r>
              <w:rPr>
                <w:rFonts w:ascii="Consolas" w:cs="Consolas" w:eastAsia="Consolas" w:hAnsi="Consolas"/>
                <w:sz w:val="19"/>
                <w:szCs w:val="19"/>
              </w:rPr>
              <w:t xml:space="preserve">&lt;name&gt;</w:t>
            </w:r>
          </w:p>
        </w:tc>
        <w:tc>
          <w:tcPr>
            <w:tcW w:type="dxa" w:w="5359"/>
            <w:tcMar>
              <w:top w:type="dxa" w:w="80"/>
              <w:left w:type="dxa" w:w="110"/>
              <w:bottom w:type="dxa" w:w="80"/>
              <w:right w:type="dxa" w:w="110"/>
            </w:tcMar>
          </w:tcPr>
          <w:p>
            <w:pPr>
              <w:spacing w:after="0" w:before="0"/>
            </w:pPr>
            <w:r>
              <w:rPr>
                <w:sz w:val="19"/>
                <w:szCs w:val="19"/>
              </w:rPr>
              <w:t xml:space="preserve">GDPR assessment and supervisory authority liaison</w:t>
            </w:r>
          </w:p>
        </w:tc>
      </w:tr>
      <w:tr>
        <w:tc>
          <w:tcPr>
            <w:tcW w:type="dxa" w:w="2196"/>
            <w:tcMar>
              <w:top w:type="dxa" w:w="80"/>
              <w:left w:type="dxa" w:w="110"/>
              <w:bottom w:type="dxa" w:w="80"/>
              <w:right w:type="dxa" w:w="110"/>
            </w:tcMar>
          </w:tcPr>
          <w:p>
            <w:pPr>
              <w:spacing w:after="0" w:before="0"/>
            </w:pPr>
            <w:r>
              <w:rPr>
                <w:sz w:val="19"/>
                <w:szCs w:val="19"/>
              </w:rPr>
              <w:t xml:space="preserve">External IR provider</w:t>
            </w:r>
          </w:p>
        </w:tc>
        <w:tc>
          <w:tcPr>
            <w:tcW w:type="dxa" w:w="1471"/>
            <w:tcMar>
              <w:top w:type="dxa" w:w="80"/>
              <w:left w:type="dxa" w:w="110"/>
              <w:bottom w:type="dxa" w:w="80"/>
              <w:right w:type="dxa" w:w="110"/>
            </w:tcMar>
          </w:tcPr>
          <w:p>
            <w:pPr>
              <w:spacing w:after="0" w:before="0"/>
            </w:pPr>
            <w:r>
              <w:rPr>
                <w:rFonts w:ascii="Consolas" w:cs="Consolas" w:eastAsia="Consolas" w:hAnsi="Consolas"/>
                <w:sz w:val="19"/>
                <w:szCs w:val="19"/>
              </w:rPr>
              <w:t xml:space="preserve">&lt;firm, 24/7 number&gt;</w:t>
            </w:r>
          </w:p>
        </w:tc>
        <w:tc>
          <w:tcPr>
            <w:tcW w:type="dxa" w:w="5359"/>
            <w:tcMar>
              <w:top w:type="dxa" w:w="80"/>
              <w:left w:type="dxa" w:w="110"/>
              <w:bottom w:type="dxa" w:w="80"/>
              <w:right w:type="dxa" w:w="110"/>
            </w:tcMar>
          </w:tcPr>
          <w:p>
            <w:pPr>
              <w:spacing w:after="0" w:before="0"/>
            </w:pPr>
            <w:r>
              <w:rPr>
                <w:sz w:val="19"/>
                <w:szCs w:val="19"/>
              </w:rPr>
              <w:t xml:space="preserve">Specialist investigation</w:t>
            </w:r>
          </w:p>
        </w:tc>
      </w:tr>
    </w:tbl>
    <w:p>
      <w:pPr>
        <w:spacing w:after="160"/>
      </w:pPr>
      <w:r>
        <w:t xml:space="preserve"/>
      </w:r>
    </w:p>
    <w:p>
      <w:pPr>
        <w:pStyle w:val="Heading2"/>
        <w:spacing w:after="120" w:before="260"/>
      </w:pPr>
      <w:r>
        <w:t xml:space="preserve">4.2 Senior Executive Management Team — strategic</w:t>
      </w:r>
    </w:p>
    <w:p>
      <w:pPr>
        <w:spacing w:after="140" w:line="276"/>
        <w:jc w:val="both"/>
      </w:pPr>
      <w:r>
        <w:t xml:space="preserve">Convened at C3, or at C2 on the Incident Manager's request.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76"/>
        <w:gridCol w:w="2229"/>
        <w:gridCol w:w="5021"/>
      </w:tblGrid>
      <w:tr>
        <w:trPr>
          <w:tblHeader/>
        </w:trPr>
        <w:tc>
          <w:tcPr>
            <w:tcW w:type="dxa" w:w="1776"/>
            <w:shd w:fill="E8EDF5" w:color="auto" w:val="clear"/>
            <w:tcMar>
              <w:top w:type="dxa" w:w="80"/>
              <w:left w:type="dxa" w:w="110"/>
              <w:bottom w:type="dxa" w:w="80"/>
              <w:right w:type="dxa" w:w="110"/>
            </w:tcMar>
          </w:tcPr>
          <w:p>
            <w:pPr>
              <w:spacing w:after="0" w:before="0"/>
            </w:pPr>
            <w:r>
              <w:rPr>
                <w:b/>
                <w:bCs/>
                <w:sz w:val="19"/>
                <w:szCs w:val="19"/>
              </w:rPr>
              <w:t xml:space="preserve">Role</w:t>
            </w:r>
          </w:p>
        </w:tc>
        <w:tc>
          <w:tcPr>
            <w:tcW w:type="dxa" w:w="2229"/>
            <w:shd w:fill="E8EDF5" w:color="auto" w:val="clear"/>
            <w:tcMar>
              <w:top w:type="dxa" w:w="80"/>
              <w:left w:type="dxa" w:w="110"/>
              <w:bottom w:type="dxa" w:w="80"/>
              <w:right w:type="dxa" w:w="110"/>
            </w:tcMar>
          </w:tcPr>
          <w:p>
            <w:pPr>
              <w:spacing w:after="0" w:before="0"/>
            </w:pPr>
            <w:r>
              <w:rPr>
                <w:b/>
                <w:bCs/>
                <w:sz w:val="19"/>
                <w:szCs w:val="19"/>
              </w:rPr>
              <w:t xml:space="preserve">Held by</w:t>
            </w:r>
          </w:p>
        </w:tc>
        <w:tc>
          <w:tcPr>
            <w:tcW w:type="dxa" w:w="5021"/>
            <w:shd w:fill="E8EDF5" w:color="auto" w:val="clear"/>
            <w:tcMar>
              <w:top w:type="dxa" w:w="80"/>
              <w:left w:type="dxa" w:w="110"/>
              <w:bottom w:type="dxa" w:w="80"/>
              <w:right w:type="dxa" w:w="110"/>
            </w:tcMar>
          </w:tcPr>
          <w:p>
            <w:pPr>
              <w:spacing w:after="0" w:before="0"/>
            </w:pPr>
            <w:r>
              <w:rPr>
                <w:b/>
                <w:bCs/>
                <w:sz w:val="19"/>
                <w:szCs w:val="19"/>
              </w:rPr>
              <w:t xml:space="preserve">Responsibility</w:t>
            </w:r>
          </w:p>
        </w:tc>
      </w:tr>
      <w:tr>
        <w:tc>
          <w:tcPr>
            <w:tcW w:type="dxa" w:w="1776"/>
            <w:tcMar>
              <w:top w:type="dxa" w:w="80"/>
              <w:left w:type="dxa" w:w="110"/>
              <w:bottom w:type="dxa" w:w="80"/>
              <w:right w:type="dxa" w:w="110"/>
            </w:tcMar>
          </w:tcPr>
          <w:p>
            <w:pPr>
              <w:spacing w:after="0" w:before="0"/>
            </w:pPr>
            <w:r>
              <w:rPr>
                <w:sz w:val="19"/>
                <w:szCs w:val="19"/>
              </w:rPr>
              <w:t xml:space="preserve">Chair</w:t>
            </w:r>
          </w:p>
        </w:tc>
        <w:tc>
          <w:tcPr>
            <w:tcW w:type="dxa" w:w="2229"/>
            <w:tcMar>
              <w:top w:type="dxa" w:w="80"/>
              <w:left w:type="dxa" w:w="110"/>
              <w:bottom w:type="dxa" w:w="80"/>
              <w:right w:type="dxa" w:w="110"/>
            </w:tcMar>
          </w:tcPr>
          <w:p>
            <w:pPr>
              <w:spacing w:after="0" w:before="0"/>
            </w:pPr>
            <w:r>
              <w:rPr>
                <w:sz w:val="19"/>
                <w:szCs w:val="19"/>
              </w:rPr>
              <w:t xml:space="preserve">Chief Executive Officer (Norman Osborn)</w:t>
            </w:r>
          </w:p>
        </w:tc>
        <w:tc>
          <w:tcPr>
            <w:tcW w:type="dxa" w:w="5021"/>
            <w:tcMar>
              <w:top w:type="dxa" w:w="80"/>
              <w:left w:type="dxa" w:w="110"/>
              <w:bottom w:type="dxa" w:w="80"/>
              <w:right w:type="dxa" w:w="110"/>
            </w:tcMar>
          </w:tcPr>
          <w:p>
            <w:pPr>
              <w:spacing w:after="0" w:before="0"/>
            </w:pPr>
            <w:r>
              <w:rPr>
                <w:sz w:val="19"/>
                <w:szCs w:val="19"/>
              </w:rPr>
              <w:t xml:space="preserve">Strategic direction; disclosure decisions</w:t>
            </w:r>
          </w:p>
        </w:tc>
      </w:tr>
      <w:tr>
        <w:tc>
          <w:tcPr>
            <w:tcW w:type="dxa" w:w="1776"/>
            <w:tcMar>
              <w:top w:type="dxa" w:w="80"/>
              <w:left w:type="dxa" w:w="110"/>
              <w:bottom w:type="dxa" w:w="80"/>
              <w:right w:type="dxa" w:w="110"/>
            </w:tcMar>
          </w:tcPr>
          <w:p>
            <w:pPr>
              <w:spacing w:after="0" w:before="0"/>
            </w:pPr>
            <w:r>
              <w:rPr>
                <w:sz w:val="19"/>
                <w:szCs w:val="19"/>
              </w:rPr>
              <w:t xml:space="preserve">Deputy Chair</w:t>
            </w:r>
          </w:p>
        </w:tc>
        <w:tc>
          <w:tcPr>
            <w:tcW w:type="dxa" w:w="2229"/>
            <w:tcMar>
              <w:top w:type="dxa" w:w="80"/>
              <w:left w:type="dxa" w:w="110"/>
              <w:bottom w:type="dxa" w:w="80"/>
              <w:right w:type="dxa" w:w="110"/>
            </w:tcMar>
          </w:tcPr>
          <w:p>
            <w:pPr>
              <w:spacing w:after="0" w:before="0"/>
            </w:pPr>
            <w:r>
              <w:rPr>
                <w:rFonts w:ascii="Consolas" w:cs="Consolas" w:eastAsia="Consolas" w:hAnsi="Consolas"/>
                <w:sz w:val="19"/>
                <w:szCs w:val="19"/>
              </w:rPr>
              <w:t xml:space="preserve">&lt;Head of IT / Security&gt;</w:t>
            </w:r>
          </w:p>
        </w:tc>
        <w:tc>
          <w:tcPr>
            <w:tcW w:type="dxa" w:w="5021"/>
            <w:tcMar>
              <w:top w:type="dxa" w:w="80"/>
              <w:left w:type="dxa" w:w="110"/>
              <w:bottom w:type="dxa" w:w="80"/>
              <w:right w:type="dxa" w:w="110"/>
            </w:tcMar>
          </w:tcPr>
          <w:p>
            <w:pPr>
              <w:spacing w:after="0" w:before="0"/>
            </w:pPr>
            <w:r>
              <w:rPr>
                <w:sz w:val="19"/>
                <w:szCs w:val="19"/>
              </w:rPr>
              <w:t xml:space="preserve">Bridge to the IMT</w:t>
            </w:r>
          </w:p>
        </w:tc>
      </w:tr>
      <w:tr>
        <w:tc>
          <w:tcPr>
            <w:tcW w:type="dxa" w:w="1776"/>
            <w:tcMar>
              <w:top w:type="dxa" w:w="80"/>
              <w:left w:type="dxa" w:w="110"/>
              <w:bottom w:type="dxa" w:w="80"/>
              <w:right w:type="dxa" w:w="110"/>
            </w:tcMar>
          </w:tcPr>
          <w:p>
            <w:pPr>
              <w:spacing w:after="0" w:before="0"/>
            </w:pPr>
            <w:r>
              <w:rPr>
                <w:sz w:val="19"/>
                <w:szCs w:val="19"/>
              </w:rPr>
              <w:t xml:space="preserve">Chief Scientist</w:t>
            </w:r>
          </w:p>
        </w:tc>
        <w:tc>
          <w:tcPr>
            <w:tcW w:type="dxa" w:w="2229"/>
            <w:tcMar>
              <w:top w:type="dxa" w:w="80"/>
              <w:left w:type="dxa" w:w="110"/>
              <w:bottom w:type="dxa" w:w="80"/>
              <w:right w:type="dxa" w:w="110"/>
            </w:tcMar>
          </w:tcPr>
          <w:p>
            <w:pPr>
              <w:spacing w:after="0" w:before="0"/>
            </w:pPr>
            <w:r>
              <w:rPr>
                <w:sz w:val="19"/>
                <w:szCs w:val="19"/>
              </w:rPr>
              <w:t xml:space="preserve">Harry Osborn</w:t>
            </w:r>
          </w:p>
        </w:tc>
        <w:tc>
          <w:tcPr>
            <w:tcW w:type="dxa" w:w="5021"/>
            <w:tcMar>
              <w:top w:type="dxa" w:w="80"/>
              <w:left w:type="dxa" w:w="110"/>
              <w:bottom w:type="dxa" w:w="80"/>
              <w:right w:type="dxa" w:w="110"/>
            </w:tcMar>
          </w:tcPr>
          <w:p>
            <w:pPr>
              <w:spacing w:after="0" w:before="0"/>
            </w:pPr>
            <w:r>
              <w:rPr>
                <w:sz w:val="19"/>
                <w:szCs w:val="19"/>
              </w:rPr>
              <w:t xml:space="preserve">Research and scientific integrity impact</w:t>
            </w:r>
          </w:p>
        </w:tc>
      </w:tr>
      <w:tr>
        <w:tc>
          <w:tcPr>
            <w:tcW w:type="dxa" w:w="1776"/>
            <w:tcMar>
              <w:top w:type="dxa" w:w="80"/>
              <w:left w:type="dxa" w:w="110"/>
              <w:bottom w:type="dxa" w:w="80"/>
              <w:right w:type="dxa" w:w="110"/>
            </w:tcMar>
          </w:tcPr>
          <w:p>
            <w:pPr>
              <w:spacing w:after="0" w:before="0"/>
            </w:pPr>
            <w:r>
              <w:rPr>
                <w:sz w:val="19"/>
                <w:szCs w:val="19"/>
              </w:rPr>
              <w:t xml:space="preserve">Legal</w:t>
            </w:r>
          </w:p>
        </w:tc>
        <w:tc>
          <w:tcPr>
            <w:tcW w:type="dxa" w:w="2229"/>
            <w:tcMar>
              <w:top w:type="dxa" w:w="80"/>
              <w:left w:type="dxa" w:w="110"/>
              <w:bottom w:type="dxa" w:w="80"/>
              <w:right w:type="dxa" w:w="110"/>
            </w:tcMar>
          </w:tcPr>
          <w:p>
            <w:pPr>
              <w:spacing w:after="0" w:before="0"/>
            </w:pPr>
            <w:r>
              <w:rPr>
                <w:rFonts w:ascii="Consolas" w:cs="Consolas" w:eastAsia="Consolas" w:hAnsi="Consolas"/>
                <w:sz w:val="19"/>
                <w:szCs w:val="19"/>
              </w:rPr>
              <w:t xml:space="preserve">&lt;name&gt;</w:t>
            </w:r>
          </w:p>
        </w:tc>
        <w:tc>
          <w:tcPr>
            <w:tcW w:type="dxa" w:w="5021"/>
            <w:tcMar>
              <w:top w:type="dxa" w:w="80"/>
              <w:left w:type="dxa" w:w="110"/>
              <w:bottom w:type="dxa" w:w="80"/>
              <w:right w:type="dxa" w:w="110"/>
            </w:tcMar>
          </w:tcPr>
          <w:p>
            <w:pPr>
              <w:spacing w:after="0" w:before="0"/>
            </w:pPr>
            <w:r>
              <w:rPr>
                <w:sz w:val="19"/>
                <w:szCs w:val="19"/>
              </w:rPr>
              <w:t xml:space="preserve">Regulatory exposure, liability, insurance</w:t>
            </w:r>
          </w:p>
        </w:tc>
      </w:tr>
      <w:tr>
        <w:tc>
          <w:tcPr>
            <w:tcW w:type="dxa" w:w="1776"/>
            <w:tcMar>
              <w:top w:type="dxa" w:w="80"/>
              <w:left w:type="dxa" w:w="110"/>
              <w:bottom w:type="dxa" w:w="80"/>
              <w:right w:type="dxa" w:w="110"/>
            </w:tcMar>
          </w:tcPr>
          <w:p>
            <w:pPr>
              <w:spacing w:after="0" w:before="0"/>
            </w:pPr>
            <w:r>
              <w:rPr>
                <w:sz w:val="19"/>
                <w:szCs w:val="19"/>
              </w:rPr>
              <w:t xml:space="preserve">Regulatory affairs</w:t>
            </w:r>
          </w:p>
        </w:tc>
        <w:tc>
          <w:tcPr>
            <w:tcW w:type="dxa" w:w="2229"/>
            <w:tcMar>
              <w:top w:type="dxa" w:w="80"/>
              <w:left w:type="dxa" w:w="110"/>
              <w:bottom w:type="dxa" w:w="80"/>
              <w:right w:type="dxa" w:w="110"/>
            </w:tcMar>
          </w:tcPr>
          <w:p>
            <w:pPr>
              <w:spacing w:after="0" w:before="0"/>
            </w:pPr>
            <w:r>
              <w:rPr>
                <w:rFonts w:ascii="Consolas" w:cs="Consolas" w:eastAsia="Consolas" w:hAnsi="Consolas"/>
                <w:sz w:val="19"/>
                <w:szCs w:val="19"/>
              </w:rPr>
              <w:t xml:space="preserve">&lt;name&gt;</w:t>
            </w:r>
          </w:p>
        </w:tc>
        <w:tc>
          <w:tcPr>
            <w:tcW w:type="dxa" w:w="5021"/>
            <w:tcMar>
              <w:top w:type="dxa" w:w="80"/>
              <w:left w:type="dxa" w:w="110"/>
              <w:bottom w:type="dxa" w:w="80"/>
              <w:right w:type="dxa" w:w="110"/>
            </w:tcMar>
          </w:tcPr>
          <w:p>
            <w:pPr>
              <w:spacing w:after="0" w:before="0"/>
            </w:pPr>
            <w:r>
              <w:rPr>
                <w:sz w:val="19"/>
                <w:szCs w:val="19"/>
              </w:rPr>
              <w:t xml:space="preserve">Medicines authority obligations</w:t>
            </w:r>
          </w:p>
        </w:tc>
      </w:tr>
      <w:tr>
        <w:tc>
          <w:tcPr>
            <w:tcW w:type="dxa" w:w="1776"/>
            <w:tcMar>
              <w:top w:type="dxa" w:w="80"/>
              <w:left w:type="dxa" w:w="110"/>
              <w:bottom w:type="dxa" w:w="80"/>
              <w:right w:type="dxa" w:w="110"/>
            </w:tcMar>
          </w:tcPr>
          <w:p>
            <w:pPr>
              <w:spacing w:after="0" w:before="0"/>
            </w:pPr>
            <w:r>
              <w:rPr>
                <w:sz w:val="19"/>
                <w:szCs w:val="19"/>
              </w:rPr>
              <w:t xml:space="preserve">Finance</w:t>
            </w:r>
          </w:p>
        </w:tc>
        <w:tc>
          <w:tcPr>
            <w:tcW w:type="dxa" w:w="2229"/>
            <w:tcMar>
              <w:top w:type="dxa" w:w="80"/>
              <w:left w:type="dxa" w:w="110"/>
              <w:bottom w:type="dxa" w:w="80"/>
              <w:right w:type="dxa" w:w="110"/>
            </w:tcMar>
          </w:tcPr>
          <w:p>
            <w:pPr>
              <w:spacing w:after="0" w:before="0"/>
            </w:pPr>
            <w:r>
              <w:rPr>
                <w:rFonts w:ascii="Consolas" w:cs="Consolas" w:eastAsia="Consolas" w:hAnsi="Consolas"/>
                <w:sz w:val="19"/>
                <w:szCs w:val="19"/>
              </w:rPr>
              <w:t xml:space="preserve">&lt;name&gt;</w:t>
            </w:r>
          </w:p>
        </w:tc>
        <w:tc>
          <w:tcPr>
            <w:tcW w:type="dxa" w:w="5021"/>
            <w:tcMar>
              <w:top w:type="dxa" w:w="80"/>
              <w:left w:type="dxa" w:w="110"/>
              <w:bottom w:type="dxa" w:w="80"/>
              <w:right w:type="dxa" w:w="110"/>
            </w:tcMar>
          </w:tcPr>
          <w:p>
            <w:pPr>
              <w:spacing w:after="0" w:before="0"/>
            </w:pPr>
            <w:r>
              <w:rPr>
                <w:sz w:val="19"/>
                <w:szCs w:val="19"/>
              </w:rPr>
              <w:t xml:space="preserve">Emergency expenditure</w:t>
            </w:r>
          </w:p>
        </w:tc>
      </w:tr>
      <w:tr>
        <w:tc>
          <w:tcPr>
            <w:tcW w:type="dxa" w:w="1776"/>
            <w:tcMar>
              <w:top w:type="dxa" w:w="80"/>
              <w:left w:type="dxa" w:w="110"/>
              <w:bottom w:type="dxa" w:w="80"/>
              <w:right w:type="dxa" w:w="110"/>
            </w:tcMar>
          </w:tcPr>
          <w:p>
            <w:pPr>
              <w:spacing w:after="0" w:before="0"/>
            </w:pPr>
            <w:r>
              <w:rPr>
                <w:sz w:val="19"/>
                <w:szCs w:val="19"/>
              </w:rPr>
              <w:t xml:space="preserve">Communications</w:t>
            </w:r>
          </w:p>
        </w:tc>
        <w:tc>
          <w:tcPr>
            <w:tcW w:type="dxa" w:w="2229"/>
            <w:tcMar>
              <w:top w:type="dxa" w:w="80"/>
              <w:left w:type="dxa" w:w="110"/>
              <w:bottom w:type="dxa" w:w="80"/>
              <w:right w:type="dxa" w:w="110"/>
            </w:tcMar>
          </w:tcPr>
          <w:p>
            <w:pPr>
              <w:spacing w:after="0" w:before="0"/>
            </w:pPr>
            <w:r>
              <w:rPr>
                <w:rFonts w:ascii="Consolas" w:cs="Consolas" w:eastAsia="Consolas" w:hAnsi="Consolas"/>
                <w:sz w:val="19"/>
                <w:szCs w:val="19"/>
              </w:rPr>
              <w:t xml:space="preserve">&lt;name&gt;</w:t>
            </w:r>
          </w:p>
        </w:tc>
        <w:tc>
          <w:tcPr>
            <w:tcW w:type="dxa" w:w="5021"/>
            <w:tcMar>
              <w:top w:type="dxa" w:w="80"/>
              <w:left w:type="dxa" w:w="110"/>
              <w:bottom w:type="dxa" w:w="80"/>
              <w:right w:type="dxa" w:w="110"/>
            </w:tcMar>
          </w:tcPr>
          <w:p>
            <w:pPr>
              <w:spacing w:after="0" w:before="0"/>
            </w:pPr>
            <w:r>
              <w:rPr>
                <w:sz w:val="19"/>
                <w:szCs w:val="19"/>
              </w:rPr>
              <w:t xml:space="preserve">Public and stakeholder communication</w:t>
            </w:r>
          </w:p>
        </w:tc>
      </w:tr>
      <w:tr>
        <w:tc>
          <w:tcPr>
            <w:tcW w:type="dxa" w:w="1776"/>
            <w:tcMar>
              <w:top w:type="dxa" w:w="80"/>
              <w:left w:type="dxa" w:w="110"/>
              <w:bottom w:type="dxa" w:w="80"/>
              <w:right w:type="dxa" w:w="110"/>
            </w:tcMar>
          </w:tcPr>
          <w:p>
            <w:pPr>
              <w:spacing w:after="0" w:before="0"/>
            </w:pPr>
            <w:r>
              <w:rPr>
                <w:sz w:val="19"/>
                <w:szCs w:val="19"/>
              </w:rPr>
              <w:t xml:space="preserve">People and culture</w:t>
            </w:r>
          </w:p>
        </w:tc>
        <w:tc>
          <w:tcPr>
            <w:tcW w:type="dxa" w:w="2229"/>
            <w:tcMar>
              <w:top w:type="dxa" w:w="80"/>
              <w:left w:type="dxa" w:w="110"/>
              <w:bottom w:type="dxa" w:w="80"/>
              <w:right w:type="dxa" w:w="110"/>
            </w:tcMar>
          </w:tcPr>
          <w:p>
            <w:pPr>
              <w:spacing w:after="0" w:before="0"/>
            </w:pPr>
            <w:r>
              <w:rPr>
                <w:rFonts w:ascii="Consolas" w:cs="Consolas" w:eastAsia="Consolas" w:hAnsi="Consolas"/>
                <w:sz w:val="19"/>
                <w:szCs w:val="19"/>
              </w:rPr>
              <w:t xml:space="preserve">&lt;name&gt;</w:t>
            </w:r>
          </w:p>
        </w:tc>
        <w:tc>
          <w:tcPr>
            <w:tcW w:type="dxa" w:w="5021"/>
            <w:tcMar>
              <w:top w:type="dxa" w:w="80"/>
              <w:left w:type="dxa" w:w="110"/>
              <w:bottom w:type="dxa" w:w="80"/>
              <w:right w:type="dxa" w:w="110"/>
            </w:tcMar>
          </w:tcPr>
          <w:p>
            <w:pPr>
              <w:spacing w:after="0" w:before="0"/>
            </w:pPr>
            <w:r>
              <w:rPr>
                <w:sz w:val="19"/>
                <w:szCs w:val="19"/>
              </w:rPr>
              <w:t xml:space="preserve">Staff welfare and employment matters</w:t>
            </w:r>
          </w:p>
        </w:tc>
      </w:tr>
    </w:tbl>
    <w:p>
      <w:pPr>
        <w:spacing w:after="160"/>
      </w:pPr>
      <w:r>
        <w:t xml:space="preserve"/>
      </w:r>
    </w:p>
    <w:p>
      <w:pPr>
        <w:spacing w:after="140" w:line="276"/>
        <w:jc w:val="both"/>
      </w:pPr>
      <w:r>
        <w:t xml:space="preserve">If the SEMT cannot convene, decision authority rests with </w:t>
      </w:r>
      <w:r>
        <w:rPr>
          <w:rFonts w:ascii="Consolas" w:cs="Consolas" w:eastAsia="Consolas" w:hAnsi="Consolas"/>
          <w:sz w:val="19"/>
          <w:szCs w:val="19"/>
        </w:rPr>
        <w:t xml:space="preserve">&lt;named delegate&gt;</w:t>
      </w:r>
      <w:r>
        <w:t xml:space="preserve">. A crisis must not stall because a meeting cannot be arranged.</w:t>
      </w:r>
    </w:p>
    <w:p>
      <w:pPr>
        <w:pStyle w:val="Heading2"/>
        <w:spacing w:after="120" w:before="260"/>
      </w:pPr>
      <w:r>
        <w:t xml:space="preserve">4.3 Conflict of interest</w:t>
      </w:r>
    </w:p>
    <w:p>
      <w:pPr>
        <w:spacing w:after="140" w:line="276"/>
        <w:jc w:val="both"/>
      </w:pPr>
      <w:r>
        <w:t xml:space="preserve">Where an IMT or SEMT member is a subject of the incident — suspected of involvement, or owner of the asset under investigation — they are </w:t>
      </w:r>
      <w:r>
        <w:rPr>
          <w:b/>
          <w:bCs/>
        </w:rPr>
        <w:t xml:space="preserve">recused for that incident</w:t>
      </w:r>
      <w:r>
        <w:t xml:space="preserve">:</w:t>
      </w:r>
    </w:p>
    <w:p>
      <w:pPr>
        <w:pStyle w:val="ListParagraph"/>
        <w:numPr>
          <w:ilvl w:val="0"/>
          <w:numId w:val="2"/>
        </w:numPr>
        <w:spacing w:after="90" w:line="276"/>
      </w:pPr>
      <w:r>
        <w:t xml:space="preserve">Incident Manager a subject → CEO appoints an alternate</w:t>
      </w:r>
    </w:p>
    <w:p>
      <w:pPr>
        <w:pStyle w:val="ListParagraph"/>
        <w:numPr>
          <w:ilvl w:val="0"/>
          <w:numId w:val="2"/>
        </w:numPr>
        <w:spacing w:after="90" w:line="276"/>
      </w:pPr>
      <w:r>
        <w:t xml:space="preserve">CEO a subject → </w:t>
      </w:r>
      <w:r>
        <w:rPr>
          <w:rFonts w:ascii="Consolas" w:cs="Consolas" w:eastAsia="Consolas" w:hAnsi="Consolas"/>
          <w:sz w:val="19"/>
          <w:szCs w:val="19"/>
        </w:rPr>
        <w:t xml:space="preserve">&lt;board chair / non-executive director&gt;</w:t>
      </w:r>
      <w:r>
        <w:t xml:space="preserve"> chairs the SEMT</w:t>
      </w:r>
    </w:p>
    <w:p>
      <w:pPr>
        <w:pStyle w:val="ListParagraph"/>
        <w:numPr>
          <w:ilvl w:val="0"/>
          <w:numId w:val="2"/>
        </w:numPr>
        <w:spacing w:after="90" w:line="276"/>
      </w:pPr>
      <w:r>
        <w:t xml:space="preserve">Chief Scientist a subject → research impact assessed by </w:t>
      </w:r>
      <w:r>
        <w:rPr>
          <w:rFonts w:ascii="Consolas" w:cs="Consolas" w:eastAsia="Consolas" w:hAnsi="Consolas"/>
          <w:sz w:val="19"/>
          <w:szCs w:val="19"/>
        </w:rPr>
        <w:t xml:space="preserve">&lt;alternate senior researcher&gt;</w:t>
      </w:r>
    </w:p>
    <w:p>
      <w:pPr>
        <w:spacing w:after="140" w:line="276"/>
        <w:jc w:val="both"/>
      </w:pPr>
      <w:r>
        <w:t xml:space="preserve">Oscorp's most sensitive asset is owned and administered by its most senior people, and the organisation has already experienced a suspected insider disclosure. A plan assuming every responder is disinterested is untested against the case most likely to need it.</w:t>
      </w:r>
    </w:p>
    <w:p>
      <w:pPr>
        <w:pBdr>
          <w:bottom w:val="single" w:color="C6CEDC" w:sz="6" w:space="6"/>
        </w:pBdr>
        <w:spacing w:after="160" w:before="60"/>
      </w:pPr>
      <w:r>
        <w:t xml:space="preserve"/>
      </w:r>
    </w:p>
    <w:p>
      <w:pPr>
        <w:pStyle w:val="Heading1"/>
        <w:spacing w:after="120" w:before="260"/>
      </w:pPr>
      <w:r>
        <w:t xml:space="preserve">5. Response process</w:t>
      </w:r>
    </w:p>
    <w:p>
      <w:pPr>
        <w:spacing w:after="140" w:line="276"/>
        <w:jc w:val="both"/>
      </w:pPr>
      <w:r>
        <w:t xml:space="preserve">ENISA phases. Technical steps sit in the playbooks.</w:t>
      </w:r>
    </w:p>
    <w:p>
      <w:pPr>
        <w:pStyle w:val="Heading2"/>
        <w:spacing w:after="120" w:before="260"/>
      </w:pPr>
      <w:r>
        <w:t xml:space="preserve">5.1 Detection</w:t>
      </w:r>
    </w:p>
    <w:p>
      <w:pPr>
        <w:spacing w:after="140" w:line="276"/>
        <w:jc w:val="both"/>
      </w:pPr>
      <w:r>
        <w:t xml:space="preserve">Sources: security monitoring and alerting; staff reports; notification from a provider, partner or national CSIRT; external report from a researcher, customer or journalist.</w:t>
      </w:r>
    </w:p>
    <w:p>
      <w:pPr>
        <w:spacing w:after="140" w:line="276"/>
        <w:jc w:val="both"/>
      </w:pPr>
      <w:r>
        <w:t xml:space="preserve">The Duty Officer logs every report. </w:t>
      </w:r>
      <w:r>
        <w:rPr>
          <w:b/>
          <w:bCs/>
        </w:rPr>
        <w:t xml:space="preserve">Reporting is never penalised</w:t>
      </w:r>
      <w:r>
        <w:t xml:space="preserve"> — the interval between something going wrong and someone saying so is the single largest factor in eventual impact.</w:t>
      </w:r>
    </w:p>
    <w:p>
      <w:pPr>
        <w:pStyle w:val="Heading2"/>
        <w:spacing w:after="120" w:before="260"/>
      </w:pPr>
      <w:r>
        <w:t xml:space="preserve">5.2 Triage</w:t>
      </w:r>
    </w:p>
    <w:p>
      <w:pPr>
        <w:spacing w:after="140" w:line="276"/>
        <w:jc w:val="both"/>
      </w:pPr>
      <w:r>
        <w:t xml:space="preserve">The Triage Officer establishes whether this is an event or an incident, determines preliminary scope and impact, and </w:t>
      </w:r>
      <w:r>
        <w:rPr>
          <w:b/>
          <w:bCs/>
        </w:rPr>
        <w:t xml:space="preserve">categorises it</w:t>
      </w:r>
      <w:r>
        <w:t xml:space="preserve"> against section 3. Spend no more than </w:t>
      </w:r>
      <w:r>
        <w:rPr>
          <w:b/>
          <w:bCs/>
        </w:rPr>
        <w:t xml:space="preserve">one hour</w:t>
      </w:r>
      <w:r>
        <w:t xml:space="preserve"> on initial triage before engaging external expertise.</w:t>
      </w:r>
    </w:p>
    <w:p>
      <w:pPr>
        <w:spacing w:after="140" w:line="276"/>
        <w:jc w:val="both"/>
      </w:pPr>
      <w:r>
        <w:t xml:space="preserve">Do not probe suspected attacker infrastructure from Oscorp's network.</w:t>
      </w:r>
    </w:p>
    <w:p>
      <w:pPr>
        <w:pStyle w:val="Heading2"/>
        <w:spacing w:after="120" w:before="260"/>
      </w:pPr>
      <w:r>
        <w:t xml:space="preserve">5.3 Analysis and response</w:t>
      </w:r>
    </w:p>
    <w:p>
      <w:pPr>
        <w:spacing w:after="140" w:line="276"/>
        <w:jc w:val="both"/>
      </w:pPr>
      <w:r>
        <w:t xml:space="preserve">At C2 the Incident Manager activates the IMT and notifies the SEMT; at C3 both convene. The IMT works from </w:t>
      </w:r>
      <w:r>
        <w:rPr>
          <w:rFonts w:ascii="Consolas" w:cs="Consolas" w:eastAsia="Consolas" w:hAnsi="Consolas"/>
          <w:sz w:val="19"/>
          <w:szCs w:val="19"/>
        </w:rPr>
        <w:t xml:space="preserve">&lt;location&gt;</w:t>
      </w:r>
      <w:r>
        <w:t xml:space="preserve">, remote bridge </w:t>
      </w:r>
      <w:r>
        <w:rPr>
          <w:rFonts w:ascii="Consolas" w:cs="Consolas" w:eastAsia="Consolas" w:hAnsi="Consolas"/>
          <w:sz w:val="19"/>
          <w:szCs w:val="19"/>
        </w:rPr>
        <w:t xml:space="preserve">&lt;details&gt;</w:t>
      </w:r>
      <w:r>
        <w:t xml:space="preserve"> — assuming Oscorp's usual systems may be unavailable (section 10).</w:t>
      </w:r>
    </w:p>
    <w:p>
      <w:pPr>
        <w:spacing w:after="140" w:line="276"/>
        <w:jc w:val="both"/>
      </w:pPr>
      <w:r>
        <w:t xml:space="preserve">Containment takes priority over service availability from C2. </w:t>
      </w:r>
      <w:r>
        <w:rPr>
          <w:b/>
          <w:bCs/>
        </w:rPr>
        <w:t xml:space="preserve">Evidence preservation runs in parallel with containment, not after it</w:t>
      </w:r>
      <w:r>
        <w:t xml:space="preserve"> — isolate rather than wipe, capture logs before they roll, record chain of custody. Decisions with business impact beyond </w:t>
      </w:r>
      <w:r>
        <w:rPr>
          <w:rFonts w:ascii="Consolas" w:cs="Consolas" w:eastAsia="Consolas" w:hAnsi="Consolas"/>
          <w:sz w:val="19"/>
          <w:szCs w:val="19"/>
        </w:rPr>
        <w:t xml:space="preserve">&lt;threshold&gt;</w:t>
      </w:r>
      <w:r>
        <w:t xml:space="preserve"> need SEMT approval.</w:t>
      </w:r>
    </w:p>
    <w:p>
      <w:pPr>
        <w:pStyle w:val="Heading2"/>
        <w:spacing w:after="120" w:before="260"/>
      </w:pPr>
      <w:r>
        <w:t xml:space="preserve">5.4 Recovery and closure</w:t>
      </w:r>
    </w:p>
    <w:p>
      <w:pPr>
        <w:spacing w:after="140" w:line="276"/>
        <w:jc w:val="both"/>
      </w:pPr>
      <w:r>
        <w:t xml:space="preserve">Restore once eradication is verified. Stand down on the Incident Manager's recommendation, authorised by the SEMT Chair at C3. Post-incident analysis within </w:t>
      </w:r>
      <w:r>
        <w:rPr>
          <w:rFonts w:ascii="Consolas" w:cs="Consolas" w:eastAsia="Consolas" w:hAnsi="Consolas"/>
          <w:sz w:val="19"/>
          <w:szCs w:val="19"/>
        </w:rPr>
        <w:t xml:space="preserve">&lt;10 working days&gt;</w:t>
      </w:r>
      <w:r>
        <w:t xml:space="preserve"> (section 9).</w:t>
      </w:r>
    </w:p>
    <w:p>
      <w:pPr>
        <w:pBdr>
          <w:bottom w:val="single" w:color="C6CEDC" w:sz="6" w:space="6"/>
        </w:pBdr>
        <w:spacing w:after="160" w:before="60"/>
      </w:pPr>
      <w:r>
        <w:t xml:space="preserve"/>
      </w:r>
    </w:p>
    <w:p>
      <w:pPr>
        <w:pStyle w:val="Heading1"/>
        <w:spacing w:after="120" w:before="260"/>
      </w:pPr>
      <w:r>
        <w:t xml:space="preserve">6. Notification and reporting</w:t>
      </w:r>
    </w:p>
    <w:p>
      <w:pPr>
        <w:spacing w:after="140" w:line="276"/>
        <w:jc w:val="both"/>
      </w:pPr>
      <w:r>
        <w:rPr>
          <w:b/>
          <w:bCs/>
        </w:rPr>
        <w:t xml:space="preserve">Clocks run from awareness, not from resolution.</w:t>
      </w:r>
      <w:r>
        <w:t xml:space="preserve"> At every IMT meeting from C2, the Legal Officer and DPO confirm whether any threshold has been crossed. This is a standing agenda item, not a later step.</w:t>
      </w:r>
    </w:p>
    <w:p>
      <w:pPr>
        <w:pStyle w:val="Heading2"/>
        <w:spacing w:after="120" w:before="260"/>
      </w:pPr>
      <w:r>
        <w:t xml:space="preserve">6.1 NIS2 — multi-stage reporting</w:t>
      </w:r>
    </w:p>
    <w:p>
      <w:pPr>
        <w:spacing w:after="140" w:line="276"/>
        <w:jc w:val="both"/>
      </w:pPr>
      <w:r>
        <w:t xml:space="preserve">Applicable if Oscorp is an essential or important entity (section 2). Reports go to </w:t>
      </w:r>
      <w:r>
        <w:rPr>
          <w:rFonts w:ascii="Consolas" w:cs="Consolas" w:eastAsia="Consolas" w:hAnsi="Consolas"/>
          <w:sz w:val="19"/>
          <w:szCs w:val="19"/>
        </w:rPr>
        <w:t xml:space="preserve">&lt;national CSIRT / competent authority&gt;</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66"/>
        <w:gridCol w:w="1491"/>
        <w:gridCol w:w="5969"/>
      </w:tblGrid>
      <w:tr>
        <w:trPr>
          <w:tblHeader/>
        </w:trPr>
        <w:tc>
          <w:tcPr>
            <w:tcW w:type="dxa" w:w="1566"/>
            <w:shd w:fill="E8EDF5" w:color="auto" w:val="clear"/>
            <w:tcMar>
              <w:top w:type="dxa" w:w="80"/>
              <w:left w:type="dxa" w:w="110"/>
              <w:bottom w:type="dxa" w:w="80"/>
              <w:right w:type="dxa" w:w="110"/>
            </w:tcMar>
          </w:tcPr>
          <w:p>
            <w:pPr>
              <w:spacing w:after="0" w:before="0"/>
            </w:pPr>
            <w:r>
              <w:rPr>
                <w:b/>
                <w:bCs/>
                <w:sz w:val="19"/>
                <w:szCs w:val="19"/>
              </w:rPr>
              <w:t xml:space="preserve">Stage</w:t>
            </w:r>
          </w:p>
        </w:tc>
        <w:tc>
          <w:tcPr>
            <w:tcW w:type="dxa" w:w="1491"/>
            <w:shd w:fill="E8EDF5" w:color="auto" w:val="clear"/>
            <w:tcMar>
              <w:top w:type="dxa" w:w="80"/>
              <w:left w:type="dxa" w:w="110"/>
              <w:bottom w:type="dxa" w:w="80"/>
              <w:right w:type="dxa" w:w="110"/>
            </w:tcMar>
          </w:tcPr>
          <w:p>
            <w:pPr>
              <w:spacing w:after="0" w:before="0"/>
            </w:pPr>
            <w:r>
              <w:rPr>
                <w:b/>
                <w:bCs/>
                <w:sz w:val="19"/>
                <w:szCs w:val="19"/>
              </w:rPr>
              <w:t xml:space="preserve">Deadline from awareness</w:t>
            </w:r>
          </w:p>
        </w:tc>
        <w:tc>
          <w:tcPr>
            <w:tcW w:type="dxa" w:w="5969"/>
            <w:shd w:fill="E8EDF5" w:color="auto" w:val="clear"/>
            <w:tcMar>
              <w:top w:type="dxa" w:w="80"/>
              <w:left w:type="dxa" w:w="110"/>
              <w:bottom w:type="dxa" w:w="80"/>
              <w:right w:type="dxa" w:w="110"/>
            </w:tcMar>
          </w:tcPr>
          <w:p>
            <w:pPr>
              <w:spacing w:after="0" w:before="0"/>
            </w:pPr>
            <w:r>
              <w:rPr>
                <w:b/>
                <w:bCs/>
                <w:sz w:val="19"/>
                <w:szCs w:val="19"/>
              </w:rPr>
              <w:t xml:space="preserve">Content</w:t>
            </w:r>
          </w:p>
        </w:tc>
      </w:tr>
      <w:tr>
        <w:tc>
          <w:tcPr>
            <w:tcW w:type="dxa" w:w="1566"/>
            <w:tcMar>
              <w:top w:type="dxa" w:w="80"/>
              <w:left w:type="dxa" w:w="110"/>
              <w:bottom w:type="dxa" w:w="80"/>
              <w:right w:type="dxa" w:w="110"/>
            </w:tcMar>
          </w:tcPr>
          <w:p>
            <w:pPr>
              <w:spacing w:after="0" w:before="0"/>
            </w:pPr>
            <w:r>
              <w:rPr>
                <w:b/>
                <w:bCs/>
                <w:sz w:val="19"/>
                <w:szCs w:val="19"/>
              </w:rPr>
              <w:t xml:space="preserve">Early warning</w:t>
            </w:r>
          </w:p>
        </w:tc>
        <w:tc>
          <w:tcPr>
            <w:tcW w:type="dxa" w:w="1491"/>
            <w:tcMar>
              <w:top w:type="dxa" w:w="80"/>
              <w:left w:type="dxa" w:w="110"/>
              <w:bottom w:type="dxa" w:w="80"/>
              <w:right w:type="dxa" w:w="110"/>
            </w:tcMar>
          </w:tcPr>
          <w:p>
            <w:pPr>
              <w:spacing w:after="0" w:before="0"/>
            </w:pPr>
            <w:r>
              <w:rPr>
                <w:b/>
                <w:bCs/>
                <w:sz w:val="19"/>
                <w:szCs w:val="19"/>
              </w:rPr>
              <w:t xml:space="preserve">24 hours</w:t>
            </w:r>
          </w:p>
        </w:tc>
        <w:tc>
          <w:tcPr>
            <w:tcW w:type="dxa" w:w="5969"/>
            <w:tcMar>
              <w:top w:type="dxa" w:w="80"/>
              <w:left w:type="dxa" w:w="110"/>
              <w:bottom w:type="dxa" w:w="80"/>
              <w:right w:type="dxa" w:w="110"/>
            </w:tcMar>
          </w:tcPr>
          <w:p>
            <w:pPr>
              <w:spacing w:after="0" w:before="0"/>
            </w:pPr>
            <w:r>
              <w:rPr>
                <w:sz w:val="19"/>
                <w:szCs w:val="19"/>
              </w:rPr>
              <w:t xml:space="preserve">That a significant incident has occurred; whether suspected unlawful or malicious; whether cross-border impact is possible. Assistance may be requested at this point</w:t>
            </w:r>
          </w:p>
        </w:tc>
      </w:tr>
      <w:tr>
        <w:tc>
          <w:tcPr>
            <w:tcW w:type="dxa" w:w="1566"/>
            <w:tcMar>
              <w:top w:type="dxa" w:w="80"/>
              <w:left w:type="dxa" w:w="110"/>
              <w:bottom w:type="dxa" w:w="80"/>
              <w:right w:type="dxa" w:w="110"/>
            </w:tcMar>
          </w:tcPr>
          <w:p>
            <w:pPr>
              <w:spacing w:after="0" w:before="0"/>
            </w:pPr>
            <w:r>
              <w:rPr>
                <w:b/>
                <w:bCs/>
                <w:sz w:val="19"/>
                <w:szCs w:val="19"/>
              </w:rPr>
              <w:t xml:space="preserve">Incident notification</w:t>
            </w:r>
          </w:p>
        </w:tc>
        <w:tc>
          <w:tcPr>
            <w:tcW w:type="dxa" w:w="1491"/>
            <w:tcMar>
              <w:top w:type="dxa" w:w="80"/>
              <w:left w:type="dxa" w:w="110"/>
              <w:bottom w:type="dxa" w:w="80"/>
              <w:right w:type="dxa" w:w="110"/>
            </w:tcMar>
          </w:tcPr>
          <w:p>
            <w:pPr>
              <w:spacing w:after="0" w:before="0"/>
            </w:pPr>
            <w:r>
              <w:rPr>
                <w:b/>
                <w:bCs/>
                <w:sz w:val="19"/>
                <w:szCs w:val="19"/>
              </w:rPr>
              <w:t xml:space="preserve">72 hours</w:t>
            </w:r>
          </w:p>
        </w:tc>
        <w:tc>
          <w:tcPr>
            <w:tcW w:type="dxa" w:w="5969"/>
            <w:tcMar>
              <w:top w:type="dxa" w:w="80"/>
              <w:left w:type="dxa" w:w="110"/>
              <w:bottom w:type="dxa" w:w="80"/>
              <w:right w:type="dxa" w:w="110"/>
            </w:tcMar>
          </w:tcPr>
          <w:p>
            <w:pPr>
              <w:spacing w:after="0" w:before="0"/>
            </w:pPr>
            <w:r>
              <w:rPr>
                <w:sz w:val="19"/>
                <w:szCs w:val="19"/>
              </w:rPr>
              <w:t xml:space="preserve">Update to the early warning; initial assessment of severity, impact and indicators of compromise</w:t>
            </w:r>
          </w:p>
        </w:tc>
      </w:tr>
      <w:tr>
        <w:tc>
          <w:tcPr>
            <w:tcW w:type="dxa" w:w="1566"/>
            <w:tcMar>
              <w:top w:type="dxa" w:w="80"/>
              <w:left w:type="dxa" w:w="110"/>
              <w:bottom w:type="dxa" w:w="80"/>
              <w:right w:type="dxa" w:w="110"/>
            </w:tcMar>
          </w:tcPr>
          <w:p>
            <w:pPr>
              <w:spacing w:after="0" w:before="0"/>
            </w:pPr>
            <w:r>
              <w:rPr>
                <w:b/>
                <w:bCs/>
                <w:sz w:val="19"/>
                <w:szCs w:val="19"/>
              </w:rPr>
              <w:t xml:space="preserve">Final report</w:t>
            </w:r>
          </w:p>
        </w:tc>
        <w:tc>
          <w:tcPr>
            <w:tcW w:type="dxa" w:w="1491"/>
            <w:tcMar>
              <w:top w:type="dxa" w:w="80"/>
              <w:left w:type="dxa" w:w="110"/>
              <w:bottom w:type="dxa" w:w="80"/>
              <w:right w:type="dxa" w:w="110"/>
            </w:tcMar>
          </w:tcPr>
          <w:p>
            <w:pPr>
              <w:spacing w:after="0" w:before="0"/>
            </w:pPr>
            <w:r>
              <w:rPr>
                <w:b/>
                <w:bCs/>
                <w:sz w:val="19"/>
                <w:szCs w:val="19"/>
              </w:rPr>
              <w:t xml:space="preserve">One month</w:t>
            </w:r>
          </w:p>
        </w:tc>
        <w:tc>
          <w:tcPr>
            <w:tcW w:type="dxa" w:w="5969"/>
            <w:tcMar>
              <w:top w:type="dxa" w:w="80"/>
              <w:left w:type="dxa" w:w="110"/>
              <w:bottom w:type="dxa" w:w="80"/>
              <w:right w:type="dxa" w:w="110"/>
            </w:tcMar>
          </w:tcPr>
          <w:p>
            <w:pPr>
              <w:spacing w:after="0" w:before="0"/>
            </w:pPr>
            <w:r>
              <w:rPr>
                <w:sz w:val="19"/>
                <w:szCs w:val="19"/>
              </w:rPr>
              <w:t xml:space="preserve">Detailed description, severity and impact, root cause, mitigation applied, cross-border effects</w:t>
            </w:r>
          </w:p>
        </w:tc>
      </w:tr>
    </w:tbl>
    <w:p>
      <w:pPr>
        <w:spacing w:after="160"/>
      </w:pPr>
      <w:r>
        <w:t xml:space="preserve"/>
      </w:r>
    </w:p>
    <w:p>
      <w:pPr>
        <w:spacing w:after="140" w:line="276"/>
        <w:jc w:val="both"/>
      </w:pPr>
      <w:r>
        <w:t xml:space="preserve">An intermediate report may be requested by the authority; Oscorp supplies it on request.</w:t>
      </w:r>
    </w:p>
    <w:p>
      <w:pPr>
        <w:pStyle w:val="Heading2"/>
        <w:spacing w:after="120" w:before="260"/>
      </w:pPr>
      <w:r>
        <w:t xml:space="preserve">6.2 GDPR — personal data breach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56"/>
        <w:gridCol w:w="2295"/>
        <w:gridCol w:w="1175"/>
      </w:tblGrid>
      <w:tr>
        <w:trPr>
          <w:tblHeader/>
        </w:trPr>
        <w:tc>
          <w:tcPr>
            <w:tcW w:type="dxa" w:w="5556"/>
            <w:shd w:fill="E8EDF5" w:color="auto" w:val="clear"/>
            <w:tcMar>
              <w:top w:type="dxa" w:w="80"/>
              <w:left w:type="dxa" w:w="110"/>
              <w:bottom w:type="dxa" w:w="80"/>
              <w:right w:type="dxa" w:w="110"/>
            </w:tcMar>
          </w:tcPr>
          <w:p>
            <w:pPr>
              <w:spacing w:after="0" w:before="0"/>
            </w:pPr>
            <w:r>
              <w:rPr>
                <w:b/>
                <w:bCs/>
                <w:sz w:val="19"/>
                <w:szCs w:val="19"/>
              </w:rPr>
              <w:t xml:space="preserve">Obligation</w:t>
            </w:r>
          </w:p>
        </w:tc>
        <w:tc>
          <w:tcPr>
            <w:tcW w:type="dxa" w:w="2295"/>
            <w:shd w:fill="E8EDF5" w:color="auto" w:val="clear"/>
            <w:tcMar>
              <w:top w:type="dxa" w:w="80"/>
              <w:left w:type="dxa" w:w="110"/>
              <w:bottom w:type="dxa" w:w="80"/>
              <w:right w:type="dxa" w:w="110"/>
            </w:tcMar>
          </w:tcPr>
          <w:p>
            <w:pPr>
              <w:spacing w:after="0" w:before="0"/>
            </w:pPr>
            <w:r>
              <w:rPr>
                <w:b/>
                <w:bCs/>
                <w:sz w:val="19"/>
                <w:szCs w:val="19"/>
              </w:rPr>
              <w:t xml:space="preserve">Deadline</w:t>
            </w:r>
          </w:p>
        </w:tc>
        <w:tc>
          <w:tcPr>
            <w:tcW w:type="dxa" w:w="1175"/>
            <w:shd w:fill="E8EDF5" w:color="auto" w:val="clear"/>
            <w:tcMar>
              <w:top w:type="dxa" w:w="80"/>
              <w:left w:type="dxa" w:w="110"/>
              <w:bottom w:type="dxa" w:w="80"/>
              <w:right w:type="dxa" w:w="110"/>
            </w:tcMar>
          </w:tcPr>
          <w:p>
            <w:pPr>
              <w:spacing w:after="0" w:before="0"/>
            </w:pPr>
            <w:r>
              <w:rPr>
                <w:b/>
                <w:bCs/>
                <w:sz w:val="19"/>
                <w:szCs w:val="19"/>
              </w:rPr>
              <w:t xml:space="preserve">Owner</w:t>
            </w:r>
          </w:p>
        </w:tc>
      </w:tr>
      <w:tr>
        <w:tc>
          <w:tcPr>
            <w:tcW w:type="dxa" w:w="5556"/>
            <w:tcMar>
              <w:top w:type="dxa" w:w="80"/>
              <w:left w:type="dxa" w:w="110"/>
              <w:bottom w:type="dxa" w:w="80"/>
              <w:right w:type="dxa" w:w="110"/>
            </w:tcMar>
          </w:tcPr>
          <w:p>
            <w:pPr>
              <w:spacing w:after="0" w:before="0"/>
            </w:pPr>
            <w:r>
              <w:rPr>
                <w:sz w:val="19"/>
                <w:szCs w:val="19"/>
              </w:rPr>
              <w:t xml:space="preserve">Notify </w:t>
            </w:r>
            <w:r>
              <w:rPr>
                <w:rFonts w:ascii="Consolas" w:cs="Consolas" w:eastAsia="Consolas" w:hAnsi="Consolas"/>
                <w:sz w:val="19"/>
                <w:szCs w:val="19"/>
              </w:rPr>
              <w:t xml:space="preserve">&lt;supervisory authority&gt;</w:t>
            </w:r>
            <w:r>
              <w:rPr>
                <w:sz w:val="19"/>
                <w:szCs w:val="19"/>
              </w:rPr>
              <w:t xml:space="preserve"> (Art. 33) unless unlikely to result in risk</w:t>
            </w:r>
          </w:p>
        </w:tc>
        <w:tc>
          <w:tcPr>
            <w:tcW w:type="dxa" w:w="2295"/>
            <w:tcMar>
              <w:top w:type="dxa" w:w="80"/>
              <w:left w:type="dxa" w:w="110"/>
              <w:bottom w:type="dxa" w:w="80"/>
              <w:right w:type="dxa" w:w="110"/>
            </w:tcMar>
          </w:tcPr>
          <w:p>
            <w:pPr>
              <w:spacing w:after="0" w:before="0"/>
            </w:pPr>
            <w:r>
              <w:rPr>
                <w:b/>
                <w:bCs/>
                <w:sz w:val="19"/>
                <w:szCs w:val="19"/>
              </w:rPr>
              <w:t xml:space="preserve">72 hours</w:t>
            </w:r>
            <w:r>
              <w:rPr>
                <w:sz w:val="19"/>
                <w:szCs w:val="19"/>
              </w:rPr>
              <w:t xml:space="preserve"> from awareness</w:t>
            </w:r>
          </w:p>
        </w:tc>
        <w:tc>
          <w:tcPr>
            <w:tcW w:type="dxa" w:w="1175"/>
            <w:tcMar>
              <w:top w:type="dxa" w:w="80"/>
              <w:left w:type="dxa" w:w="110"/>
              <w:bottom w:type="dxa" w:w="80"/>
              <w:right w:type="dxa" w:w="110"/>
            </w:tcMar>
          </w:tcPr>
          <w:p>
            <w:pPr>
              <w:spacing w:after="0" w:before="0"/>
            </w:pPr>
            <w:r>
              <w:rPr>
                <w:sz w:val="19"/>
                <w:szCs w:val="19"/>
              </w:rPr>
              <w:t xml:space="preserve">DPO with Legal</w:t>
            </w:r>
          </w:p>
        </w:tc>
      </w:tr>
      <w:tr>
        <w:tc>
          <w:tcPr>
            <w:tcW w:type="dxa" w:w="5556"/>
            <w:tcMar>
              <w:top w:type="dxa" w:w="80"/>
              <w:left w:type="dxa" w:w="110"/>
              <w:bottom w:type="dxa" w:w="80"/>
              <w:right w:type="dxa" w:w="110"/>
            </w:tcMar>
          </w:tcPr>
          <w:p>
            <w:pPr>
              <w:spacing w:after="0" w:before="0"/>
            </w:pPr>
            <w:r>
              <w:rPr>
                <w:sz w:val="19"/>
                <w:szCs w:val="19"/>
              </w:rPr>
              <w:t xml:space="preserve">Communicate to affected individuals (Art. 34) where high risk to their rights and freedoms</w:t>
            </w:r>
          </w:p>
        </w:tc>
        <w:tc>
          <w:tcPr>
            <w:tcW w:type="dxa" w:w="2295"/>
            <w:tcMar>
              <w:top w:type="dxa" w:w="80"/>
              <w:left w:type="dxa" w:w="110"/>
              <w:bottom w:type="dxa" w:w="80"/>
              <w:right w:type="dxa" w:w="110"/>
            </w:tcMar>
          </w:tcPr>
          <w:p>
            <w:pPr>
              <w:spacing w:after="0" w:before="0"/>
            </w:pPr>
            <w:r>
              <w:rPr>
                <w:sz w:val="19"/>
                <w:szCs w:val="19"/>
              </w:rPr>
              <w:t xml:space="preserve">Without undue delay</w:t>
            </w:r>
          </w:p>
        </w:tc>
        <w:tc>
          <w:tcPr>
            <w:tcW w:type="dxa" w:w="1175"/>
            <w:tcMar>
              <w:top w:type="dxa" w:w="80"/>
              <w:left w:type="dxa" w:w="110"/>
              <w:bottom w:type="dxa" w:w="80"/>
              <w:right w:type="dxa" w:w="110"/>
            </w:tcMar>
          </w:tcPr>
          <w:p>
            <w:pPr>
              <w:spacing w:after="0" w:before="0"/>
            </w:pPr>
            <w:r>
              <w:rPr>
                <w:sz w:val="19"/>
                <w:szCs w:val="19"/>
              </w:rPr>
              <w:t xml:space="preserve">DPO with Communications</w:t>
            </w:r>
          </w:p>
        </w:tc>
      </w:tr>
      <w:tr>
        <w:tc>
          <w:tcPr>
            <w:tcW w:type="dxa" w:w="5556"/>
            <w:tcMar>
              <w:top w:type="dxa" w:w="80"/>
              <w:left w:type="dxa" w:w="110"/>
              <w:bottom w:type="dxa" w:w="80"/>
              <w:right w:type="dxa" w:w="110"/>
            </w:tcMar>
          </w:tcPr>
          <w:p>
            <w:pPr>
              <w:spacing w:after="0" w:before="0"/>
            </w:pPr>
            <w:r>
              <w:rPr>
                <w:sz w:val="19"/>
                <w:szCs w:val="19"/>
              </w:rPr>
              <w:t xml:space="preserve">Internal breach register (Art. 33(5))</w:t>
            </w:r>
          </w:p>
        </w:tc>
        <w:tc>
          <w:tcPr>
            <w:tcW w:type="dxa" w:w="2295"/>
            <w:tcMar>
              <w:top w:type="dxa" w:w="80"/>
              <w:left w:type="dxa" w:w="110"/>
              <w:bottom w:type="dxa" w:w="80"/>
              <w:right w:type="dxa" w:w="110"/>
            </w:tcMar>
          </w:tcPr>
          <w:p>
            <w:pPr>
              <w:spacing w:after="0" w:before="0"/>
            </w:pPr>
            <w:r>
              <w:rPr>
                <w:sz w:val="19"/>
                <w:szCs w:val="19"/>
              </w:rPr>
              <w:t xml:space="preserve">Always, regardless of notification</w:t>
            </w:r>
          </w:p>
        </w:tc>
        <w:tc>
          <w:tcPr>
            <w:tcW w:type="dxa" w:w="1175"/>
            <w:tcMar>
              <w:top w:type="dxa" w:w="80"/>
              <w:left w:type="dxa" w:w="110"/>
              <w:bottom w:type="dxa" w:w="80"/>
              <w:right w:type="dxa" w:w="110"/>
            </w:tcMar>
          </w:tcPr>
          <w:p>
            <w:pPr>
              <w:spacing w:after="0" w:before="0"/>
            </w:pPr>
            <w:r>
              <w:rPr>
                <w:sz w:val="19"/>
                <w:szCs w:val="19"/>
              </w:rPr>
              <w:t xml:space="preserve">DPO</w:t>
            </w:r>
          </w:p>
        </w:tc>
      </w:tr>
    </w:tbl>
    <w:p>
      <w:pPr>
        <w:spacing w:after="160"/>
      </w:pPr>
      <w:r>
        <w:t xml:space="preserve"/>
      </w:r>
    </w:p>
    <w:p>
      <w:pPr>
        <w:spacing w:after="140" w:line="276"/>
        <w:jc w:val="both"/>
      </w:pPr>
      <w:r>
        <w:t xml:space="preserve">Where the 72-hour deadline cannot be met, the notification is made late </w:t>
      </w:r>
      <w:r>
        <w:rPr>
          <w:b/>
          <w:bCs/>
        </w:rPr>
        <w:t xml:space="preserve">with reasons</w:t>
      </w:r>
      <w:r>
        <w:t xml:space="preserve"> — not withheld.</w:t>
      </w:r>
    </w:p>
    <w:p>
      <w:pPr>
        <w:pStyle w:val="Heading2"/>
        <w:spacing w:after="120" w:before="260"/>
      </w:pPr>
      <w:r>
        <w:t xml:space="preserve">6.3 Other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63"/>
        <w:gridCol w:w="3522"/>
        <w:gridCol w:w="3041"/>
      </w:tblGrid>
      <w:tr>
        <w:trPr>
          <w:tblHeader/>
        </w:trPr>
        <w:tc>
          <w:tcPr>
            <w:tcW w:type="dxa" w:w="2463"/>
            <w:shd w:fill="E8EDF5" w:color="auto" w:val="clear"/>
            <w:tcMar>
              <w:top w:type="dxa" w:w="80"/>
              <w:left w:type="dxa" w:w="110"/>
              <w:bottom w:type="dxa" w:w="80"/>
              <w:right w:type="dxa" w:w="110"/>
            </w:tcMar>
          </w:tcPr>
          <w:p>
            <w:pPr>
              <w:spacing w:after="0" w:before="0"/>
            </w:pPr>
            <w:r>
              <w:rPr>
                <w:b/>
                <w:bCs/>
                <w:sz w:val="19"/>
                <w:szCs w:val="19"/>
              </w:rPr>
              <w:t xml:space="preserve">Audience</w:t>
            </w:r>
          </w:p>
        </w:tc>
        <w:tc>
          <w:tcPr>
            <w:tcW w:type="dxa" w:w="3522"/>
            <w:shd w:fill="E8EDF5" w:color="auto" w:val="clear"/>
            <w:tcMar>
              <w:top w:type="dxa" w:w="80"/>
              <w:left w:type="dxa" w:w="110"/>
              <w:bottom w:type="dxa" w:w="80"/>
              <w:right w:type="dxa" w:w="110"/>
            </w:tcMar>
          </w:tcPr>
          <w:p>
            <w:pPr>
              <w:spacing w:after="0" w:before="0"/>
            </w:pPr>
            <w:r>
              <w:rPr>
                <w:b/>
                <w:bCs/>
                <w:sz w:val="19"/>
                <w:szCs w:val="19"/>
              </w:rPr>
              <w:t xml:space="preserve">Trigger</w:t>
            </w:r>
          </w:p>
        </w:tc>
        <w:tc>
          <w:tcPr>
            <w:tcW w:type="dxa" w:w="3041"/>
            <w:shd w:fill="E8EDF5" w:color="auto" w:val="clear"/>
            <w:tcMar>
              <w:top w:type="dxa" w:w="80"/>
              <w:left w:type="dxa" w:w="110"/>
              <w:bottom w:type="dxa" w:w="80"/>
              <w:right w:type="dxa" w:w="110"/>
            </w:tcMar>
          </w:tcPr>
          <w:p>
            <w:pPr>
              <w:spacing w:after="0" w:before="0"/>
            </w:pPr>
            <w:r>
              <w:rPr>
                <w:b/>
                <w:bCs/>
                <w:sz w:val="19"/>
                <w:szCs w:val="19"/>
              </w:rPr>
              <w:t xml:space="preserve">Owner</w:t>
            </w:r>
          </w:p>
        </w:tc>
      </w:tr>
      <w:tr>
        <w:tc>
          <w:tcPr>
            <w:tcW w:type="dxa" w:w="2463"/>
            <w:tcMar>
              <w:top w:type="dxa" w:w="80"/>
              <w:left w:type="dxa" w:w="110"/>
              <w:bottom w:type="dxa" w:w="80"/>
              <w:right w:type="dxa" w:w="110"/>
            </w:tcMar>
          </w:tcPr>
          <w:p>
            <w:pPr>
              <w:spacing w:after="0" w:before="0"/>
            </w:pPr>
            <w:r>
              <w:rPr>
                <w:rFonts w:ascii="Consolas" w:cs="Consolas" w:eastAsia="Consolas" w:hAnsi="Consolas"/>
                <w:sz w:val="19"/>
                <w:szCs w:val="19"/>
              </w:rPr>
              <w:t xml:space="preserve">&lt;National medicines authority / EMA&gt;</w:t>
            </w:r>
          </w:p>
        </w:tc>
        <w:tc>
          <w:tcPr>
            <w:tcW w:type="dxa" w:w="3522"/>
            <w:tcMar>
              <w:top w:type="dxa" w:w="80"/>
              <w:left w:type="dxa" w:w="110"/>
              <w:bottom w:type="dxa" w:w="80"/>
              <w:right w:type="dxa" w:w="110"/>
            </w:tcMar>
          </w:tcPr>
          <w:p>
            <w:pPr>
              <w:spacing w:after="0" w:before="0"/>
            </w:pPr>
            <w:r>
              <w:rPr>
                <w:sz w:val="19"/>
                <w:szCs w:val="19"/>
              </w:rPr>
              <w:t xml:space="preserve">Integrity of data supporting a marketed medicinal product affected</w:t>
            </w:r>
          </w:p>
        </w:tc>
        <w:tc>
          <w:tcPr>
            <w:tcW w:type="dxa" w:w="3041"/>
            <w:tcMar>
              <w:top w:type="dxa" w:w="80"/>
              <w:left w:type="dxa" w:w="110"/>
              <w:bottom w:type="dxa" w:w="80"/>
              <w:right w:type="dxa" w:w="110"/>
            </w:tcMar>
          </w:tcPr>
          <w:p>
            <w:pPr>
              <w:spacing w:after="0" w:before="0"/>
            </w:pPr>
            <w:r>
              <w:rPr>
                <w:sz w:val="19"/>
                <w:szCs w:val="19"/>
              </w:rPr>
              <w:t xml:space="preserve">Regulatory affairs with Legal</w:t>
            </w:r>
          </w:p>
        </w:tc>
      </w:tr>
      <w:tr>
        <w:tc>
          <w:tcPr>
            <w:tcW w:type="dxa" w:w="2463"/>
            <w:tcMar>
              <w:top w:type="dxa" w:w="80"/>
              <w:left w:type="dxa" w:w="110"/>
              <w:bottom w:type="dxa" w:w="80"/>
              <w:right w:type="dxa" w:w="110"/>
            </w:tcMar>
          </w:tcPr>
          <w:p>
            <w:pPr>
              <w:spacing w:after="0" w:before="0"/>
            </w:pPr>
            <w:r>
              <w:rPr>
                <w:sz w:val="19"/>
                <w:szCs w:val="19"/>
              </w:rPr>
              <w:t xml:space="preserve">Law enforcement</w:t>
            </w:r>
          </w:p>
        </w:tc>
        <w:tc>
          <w:tcPr>
            <w:tcW w:type="dxa" w:w="3522"/>
            <w:tcMar>
              <w:top w:type="dxa" w:w="80"/>
              <w:left w:type="dxa" w:w="110"/>
              <w:bottom w:type="dxa" w:w="80"/>
              <w:right w:type="dxa" w:w="110"/>
            </w:tcMar>
          </w:tcPr>
          <w:p>
            <w:pPr>
              <w:spacing w:after="0" w:before="0"/>
            </w:pPr>
            <w:r>
              <w:rPr>
                <w:sz w:val="19"/>
                <w:szCs w:val="19"/>
              </w:rPr>
              <w:t xml:space="preserve">Suspected criminal activity</w:t>
            </w:r>
          </w:p>
        </w:tc>
        <w:tc>
          <w:tcPr>
            <w:tcW w:type="dxa" w:w="3041"/>
            <w:tcMar>
              <w:top w:type="dxa" w:w="80"/>
              <w:left w:type="dxa" w:w="110"/>
              <w:bottom w:type="dxa" w:w="80"/>
              <w:right w:type="dxa" w:w="110"/>
            </w:tcMar>
          </w:tcPr>
          <w:p>
            <w:pPr>
              <w:spacing w:after="0" w:before="0"/>
            </w:pPr>
            <w:r>
              <w:rPr>
                <w:sz w:val="19"/>
                <w:szCs w:val="19"/>
              </w:rPr>
              <w:t xml:space="preserve">Legal, on SEMT decision</w:t>
            </w:r>
          </w:p>
        </w:tc>
      </w:tr>
      <w:tr>
        <w:tc>
          <w:tcPr>
            <w:tcW w:type="dxa" w:w="2463"/>
            <w:tcMar>
              <w:top w:type="dxa" w:w="80"/>
              <w:left w:type="dxa" w:w="110"/>
              <w:bottom w:type="dxa" w:w="80"/>
              <w:right w:type="dxa" w:w="110"/>
            </w:tcMar>
          </w:tcPr>
          <w:p>
            <w:pPr>
              <w:spacing w:after="0" w:before="0"/>
            </w:pPr>
            <w:r>
              <w:rPr>
                <w:sz w:val="19"/>
                <w:szCs w:val="19"/>
              </w:rPr>
              <w:t xml:space="preserve">Cyber insurer</w:t>
            </w:r>
          </w:p>
        </w:tc>
        <w:tc>
          <w:tcPr>
            <w:tcW w:type="dxa" w:w="3522"/>
            <w:tcMar>
              <w:top w:type="dxa" w:w="80"/>
              <w:left w:type="dxa" w:w="110"/>
              <w:bottom w:type="dxa" w:w="80"/>
              <w:right w:type="dxa" w:w="110"/>
            </w:tcMar>
          </w:tcPr>
          <w:p>
            <w:pPr>
              <w:spacing w:after="0" w:before="0"/>
            </w:pPr>
            <w:r>
              <w:rPr>
                <w:sz w:val="19"/>
                <w:szCs w:val="19"/>
              </w:rPr>
              <w:t xml:space="preserve">Any C2+ incident</w:t>
            </w:r>
          </w:p>
        </w:tc>
        <w:tc>
          <w:tcPr>
            <w:tcW w:type="dxa" w:w="3041"/>
            <w:tcMar>
              <w:top w:type="dxa" w:w="80"/>
              <w:left w:type="dxa" w:w="110"/>
              <w:bottom w:type="dxa" w:w="80"/>
              <w:right w:type="dxa" w:w="110"/>
            </w:tcMar>
          </w:tcPr>
          <w:p>
            <w:pPr>
              <w:spacing w:after="0" w:before="0"/>
            </w:pPr>
            <w:r>
              <w:rPr>
                <w:sz w:val="19"/>
                <w:szCs w:val="19"/>
              </w:rPr>
              <w:t xml:space="preserve">Finance — often a condition of cover</w:t>
            </w:r>
          </w:p>
        </w:tc>
      </w:tr>
      <w:tr>
        <w:tc>
          <w:tcPr>
            <w:tcW w:type="dxa" w:w="2463"/>
            <w:tcMar>
              <w:top w:type="dxa" w:w="80"/>
              <w:left w:type="dxa" w:w="110"/>
              <w:bottom w:type="dxa" w:w="80"/>
              <w:right w:type="dxa" w:w="110"/>
            </w:tcMar>
          </w:tcPr>
          <w:p>
            <w:pPr>
              <w:spacing w:after="0" w:before="0"/>
            </w:pPr>
            <w:r>
              <w:rPr>
                <w:sz w:val="19"/>
                <w:szCs w:val="19"/>
              </w:rPr>
              <w:t xml:space="preserve">Research partners, customers</w:t>
            </w:r>
          </w:p>
        </w:tc>
        <w:tc>
          <w:tcPr>
            <w:tcW w:type="dxa" w:w="3522"/>
            <w:tcMar>
              <w:top w:type="dxa" w:w="80"/>
              <w:left w:type="dxa" w:w="110"/>
              <w:bottom w:type="dxa" w:w="80"/>
              <w:right w:type="dxa" w:w="110"/>
            </w:tcMar>
          </w:tcPr>
          <w:p>
            <w:pPr>
              <w:spacing w:after="0" w:before="0"/>
            </w:pPr>
            <w:r>
              <w:rPr>
                <w:sz w:val="19"/>
                <w:szCs w:val="19"/>
              </w:rPr>
              <w:t xml:space="preserve">Contractual clauses</w:t>
            </w:r>
          </w:p>
        </w:tc>
        <w:tc>
          <w:tcPr>
            <w:tcW w:type="dxa" w:w="3041"/>
            <w:tcMar>
              <w:top w:type="dxa" w:w="80"/>
              <w:left w:type="dxa" w:w="110"/>
              <w:bottom w:type="dxa" w:w="80"/>
              <w:right w:type="dxa" w:w="110"/>
            </w:tcMar>
          </w:tcPr>
          <w:p>
            <w:pPr>
              <w:spacing w:after="0" w:before="0"/>
            </w:pPr>
            <w:r>
              <w:rPr>
                <w:sz w:val="19"/>
                <w:szCs w:val="19"/>
              </w:rPr>
              <w:t xml:space="preserve">Legal with Communications</w:t>
            </w:r>
          </w:p>
        </w:tc>
      </w:tr>
      <w:tr>
        <w:tc>
          <w:tcPr>
            <w:tcW w:type="dxa" w:w="2463"/>
            <w:tcMar>
              <w:top w:type="dxa" w:w="80"/>
              <w:left w:type="dxa" w:w="110"/>
              <w:bottom w:type="dxa" w:w="80"/>
              <w:right w:type="dxa" w:w="110"/>
            </w:tcMar>
          </w:tcPr>
          <w:p>
            <w:pPr>
              <w:spacing w:after="0" w:before="0"/>
            </w:pPr>
            <w:r>
              <w:rPr>
                <w:sz w:val="19"/>
                <w:szCs w:val="19"/>
              </w:rPr>
              <w:t xml:space="preserve">Media</w:t>
            </w:r>
          </w:p>
        </w:tc>
        <w:tc>
          <w:tcPr>
            <w:tcW w:type="dxa" w:w="3522"/>
            <w:tcMar>
              <w:top w:type="dxa" w:w="80"/>
              <w:left w:type="dxa" w:w="110"/>
              <w:bottom w:type="dxa" w:w="80"/>
              <w:right w:type="dxa" w:w="110"/>
            </w:tcMar>
          </w:tcPr>
          <w:p>
            <w:pPr>
              <w:spacing w:after="0" w:before="0"/>
            </w:pPr>
            <w:r>
              <w:rPr>
                <w:sz w:val="19"/>
                <w:szCs w:val="19"/>
              </w:rPr>
              <w:t xml:space="preserve">SEMT approval only</w:t>
            </w:r>
          </w:p>
        </w:tc>
        <w:tc>
          <w:tcPr>
            <w:tcW w:type="dxa" w:w="3041"/>
            <w:tcMar>
              <w:top w:type="dxa" w:w="80"/>
              <w:left w:type="dxa" w:w="110"/>
              <w:bottom w:type="dxa" w:w="80"/>
              <w:right w:type="dxa" w:w="110"/>
            </w:tcMar>
          </w:tcPr>
          <w:p>
            <w:pPr>
              <w:spacing w:after="0" w:before="0"/>
            </w:pPr>
            <w:r>
              <w:rPr>
                <w:sz w:val="19"/>
                <w:szCs w:val="19"/>
              </w:rPr>
              <w:t xml:space="preserve">Communications</w:t>
            </w:r>
          </w:p>
        </w:tc>
      </w:tr>
    </w:tbl>
    <w:p>
      <w:pPr>
        <w:spacing w:after="160"/>
      </w:pPr>
      <w:r>
        <w:t xml:space="preserve"/>
      </w:r>
    </w:p>
    <w:p>
      <w:pPr>
        <w:spacing w:after="140" w:line="276"/>
        <w:jc w:val="both"/>
      </w:pPr>
      <w:r>
        <w:rPr>
          <w:b/>
          <w:bCs/>
        </w:rPr>
        <w:t xml:space="preserve">Only the designated spokesperson speaks publicly.</w:t>
      </w:r>
      <w:r>
        <w:t xml:space="preserve"> Holding statements are drafted in advance (section 11).</w:t>
      </w:r>
    </w:p>
    <w:p>
      <w:pPr>
        <w:pBdr>
          <w:bottom w:val="single" w:color="C6CEDC" w:sz="6" w:space="6"/>
        </w:pBdr>
        <w:spacing w:after="160" w:before="60"/>
      </w:pPr>
      <w:r>
        <w:t xml:space="preserve"/>
      </w:r>
    </w:p>
    <w:p>
      <w:pPr>
        <w:pStyle w:val="Heading1"/>
        <w:spacing w:after="120" w:before="260"/>
      </w:pPr>
      <w:r>
        <w:t xml:space="preserve">7. Documentation</w:t>
      </w:r>
    </w:p>
    <w:p>
      <w:pPr>
        <w:spacing w:after="140" w:line="276"/>
        <w:jc w:val="both"/>
      </w:pPr>
      <w:r>
        <w:t xml:space="preserve">Maintained from activation: </w:t>
      </w:r>
      <w:r>
        <w:rPr>
          <w:b/>
          <w:bCs/>
        </w:rPr>
        <w:t xml:space="preserve">incident log</w:t>
      </w:r>
      <w:r>
        <w:t xml:space="preserve"> (decisions with rationale, actions, timings, author); </w:t>
      </w:r>
      <w:r>
        <w:rPr>
          <w:b/>
          <w:bCs/>
        </w:rPr>
        <w:t xml:space="preserve">situation reports</w:t>
      </w:r>
      <w:r>
        <w:t xml:space="preserve"> (hourly at C3, </w:t>
      </w:r>
      <w:r>
        <w:rPr>
          <w:rFonts w:ascii="Consolas" w:cs="Consolas" w:eastAsia="Consolas" w:hAnsi="Consolas"/>
          <w:sz w:val="19"/>
          <w:szCs w:val="19"/>
        </w:rPr>
        <w:t xml:space="preserve">&lt;4-hourly&gt;</w:t>
      </w:r>
      <w:r>
        <w:t xml:space="preserve"> at C2, covering status, category, scope, impact, severity and IMT contacts); </w:t>
      </w:r>
      <w:r>
        <w:rPr>
          <w:b/>
          <w:bCs/>
        </w:rPr>
        <w:t xml:space="preserve">evidence register</w:t>
      </w:r>
      <w:r>
        <w:t xml:space="preserve"> (items, collector, time, custody); </w:t>
      </w:r>
      <w:r>
        <w:rPr>
          <w:b/>
          <w:bCs/>
        </w:rPr>
        <w:t xml:space="preserve">resolution action plan</w:t>
      </w:r>
      <w:r>
        <w:t xml:space="preserve"> (actions, owners, deadlines).</w:t>
      </w:r>
    </w:p>
    <w:p>
      <w:pPr>
        <w:spacing w:after="140" w:line="276"/>
        <w:jc w:val="both"/>
      </w:pPr>
      <w:r>
        <w:t xml:space="preserve">The incident log supports regulatory submissions, insurance claims and the post-incident analysis. It is written during the incident because it cannot be reconstructed afterwards.</w:t>
      </w:r>
    </w:p>
    <w:p>
      <w:pPr>
        <w:pBdr>
          <w:bottom w:val="single" w:color="C6CEDC" w:sz="6" w:space="6"/>
        </w:pBdr>
        <w:spacing w:after="160" w:before="60"/>
      </w:pPr>
      <w:r>
        <w:t xml:space="preserve"/>
      </w:r>
    </w:p>
    <w:p>
      <w:pPr>
        <w:pStyle w:val="Heading1"/>
        <w:spacing w:after="120" w:before="260"/>
      </w:pPr>
      <w:r>
        <w:t xml:space="preserve">8. Supporting playbooks</w:t>
      </w:r>
    </w:p>
    <w:p>
      <w:pPr>
        <w:spacing w:after="140" w:line="276"/>
        <w:jc w:val="both"/>
      </w:pPr>
      <w:r>
        <w:t xml:space="preserve">Ransomware · business email compromise · account compromise · personal data breach · malware outbreak · denial of service · insider data theft · compromise of research systems or laboratory instrumentation.</w:t>
      </w:r>
    </w:p>
    <w:p>
      <w:pPr>
        <w:pBdr>
          <w:bottom w:val="single" w:color="C6CEDC" w:sz="6" w:space="6"/>
        </w:pBdr>
        <w:spacing w:after="160" w:before="60"/>
      </w:pPr>
      <w:r>
        <w:t xml:space="preserve"/>
      </w:r>
    </w:p>
    <w:p>
      <w:pPr>
        <w:pStyle w:val="Heading1"/>
        <w:spacing w:after="120" w:before="260"/>
      </w:pPr>
      <w:r>
        <w:t xml:space="preserve">9. Post-incident analysis</w:t>
      </w:r>
    </w:p>
    <w:p>
      <w:pPr>
        <w:spacing w:after="140" w:line="276"/>
        <w:jc w:val="both"/>
      </w:pPr>
      <w:r>
        <w:t xml:space="preserve">Within </w:t>
      </w:r>
      <w:r>
        <w:rPr>
          <w:rFonts w:ascii="Consolas" w:cs="Consolas" w:eastAsia="Consolas" w:hAnsi="Consolas"/>
          <w:sz w:val="19"/>
          <w:szCs w:val="19"/>
        </w:rPr>
        <w:t xml:space="preserve">&lt;10 working days&gt;</w:t>
      </w:r>
      <w:r>
        <w:t xml:space="preserve"> of stand-down: timeline; what worked; what didn't; whether categorisation and escalation were correct; </w:t>
      </w:r>
      <w:r>
        <w:rPr>
          <w:b/>
          <w:bCs/>
        </w:rPr>
        <w:t xml:space="preserve">whether every notification deadline was met</w:t>
      </w:r>
      <w:r>
        <w:t xml:space="preserve">; root cause.</w:t>
      </w:r>
    </w:p>
    <w:p>
      <w:pPr>
        <w:spacing w:after="140" w:line="276"/>
        <w:jc w:val="both"/>
      </w:pPr>
      <w:r>
        <w:t xml:space="preserve">Output is an action register with named owners and dates, tracked to closure, and </w:t>
      </w:r>
      <w:r>
        <w:rPr>
          <w:b/>
          <w:bCs/>
        </w:rPr>
        <w:t xml:space="preserve">an updated version of this plan.</w:t>
      </w:r>
      <w:r>
        <w:t xml:space="preserve"> A review that changes nothing has not been done properly.</w:t>
      </w:r>
    </w:p>
    <w:p>
      <w:pPr>
        <w:pBdr>
          <w:bottom w:val="single" w:color="C6CEDC" w:sz="6" w:space="6"/>
        </w:pBdr>
        <w:spacing w:after="160" w:before="60"/>
      </w:pPr>
      <w:r>
        <w:t xml:space="preserve"/>
      </w:r>
    </w:p>
    <w:p>
      <w:pPr>
        <w:pStyle w:val="Heading1"/>
        <w:spacing w:after="120" w:before="260"/>
      </w:pPr>
      <w:r>
        <w:t xml:space="preserve">10. Availability</w:t>
      </w:r>
    </w:p>
    <w:p>
      <w:pPr>
        <w:spacing w:after="140" w:line="276"/>
        <w:jc w:val="both"/>
      </w:pPr>
      <w:r>
        <w:t xml:space="preserve">This plan, the contact list and the playbooks are held in Oscorp's document management system </w:t>
      </w:r>
      <w:r>
        <w:rPr>
          <w:b/>
          <w:bCs/>
        </w:rPr>
        <w:t xml:space="preserve">and as an offline copy</w:t>
      </w:r>
      <w:r>
        <w:t xml:space="preserve"> — printed and in an out-of-band location </w:t>
      </w:r>
      <w:r>
        <w:rPr>
          <w:rFonts w:ascii="Consolas" w:cs="Consolas" w:eastAsia="Consolas" w:hAnsi="Consolas"/>
          <w:sz w:val="19"/>
          <w:szCs w:val="19"/>
        </w:rPr>
        <w:t xml:space="preserve">&lt;detail&gt;</w:t>
      </w:r>
      <w:r>
        <w:t xml:space="preserve">. A plan reachable only through systems ransomware has encrypted is not a plan. Contact details verified </w:t>
      </w:r>
      <w:r>
        <w:rPr>
          <w:rFonts w:ascii="Consolas" w:cs="Consolas" w:eastAsia="Consolas" w:hAnsi="Consolas"/>
          <w:sz w:val="19"/>
          <w:szCs w:val="19"/>
        </w:rPr>
        <w:t xml:space="preserve">&lt;quarterly&gt;</w:t>
      </w:r>
      <w:r>
        <w:t xml:space="preserve">.</w:t>
      </w:r>
    </w:p>
    <w:p>
      <w:pPr>
        <w:pBdr>
          <w:bottom w:val="single" w:color="C6CEDC" w:sz="6" w:space="6"/>
        </w:pBdr>
        <w:spacing w:after="160" w:before="60"/>
      </w:pPr>
      <w:r>
        <w:t xml:space="preserve"/>
      </w:r>
    </w:p>
    <w:p>
      <w:pPr>
        <w:pStyle w:val="Heading1"/>
        <w:spacing w:after="120" w:before="260"/>
      </w:pPr>
      <w:r>
        <w:t xml:space="preserve">11. Testing and maintenance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72"/>
        <w:gridCol w:w="3354"/>
      </w:tblGrid>
      <w:tr>
        <w:trPr>
          <w:tblHeader/>
        </w:trPr>
        <w:tc>
          <w:tcPr>
            <w:tcW w:type="dxa" w:w="5672"/>
            <w:shd w:fill="E8EDF5" w:color="auto" w:val="clear"/>
            <w:tcMar>
              <w:top w:type="dxa" w:w="80"/>
              <w:left w:type="dxa" w:w="110"/>
              <w:bottom w:type="dxa" w:w="80"/>
              <w:right w:type="dxa" w:w="110"/>
            </w:tcMar>
          </w:tcPr>
          <w:p>
            <w:pPr>
              <w:spacing w:after="0" w:before="0"/>
            </w:pPr>
            <w:r>
              <w:rPr>
                <w:b/>
                <w:bCs/>
                <w:sz w:val="19"/>
                <w:szCs w:val="19"/>
              </w:rPr>
              <w:t xml:space="preserve">Activity</w:t>
            </w:r>
          </w:p>
        </w:tc>
        <w:tc>
          <w:tcPr>
            <w:tcW w:type="dxa" w:w="3354"/>
            <w:shd w:fill="E8EDF5" w:color="auto" w:val="clear"/>
            <w:tcMar>
              <w:top w:type="dxa" w:w="80"/>
              <w:left w:type="dxa" w:w="110"/>
              <w:bottom w:type="dxa" w:w="80"/>
              <w:right w:type="dxa" w:w="110"/>
            </w:tcMar>
          </w:tcPr>
          <w:p>
            <w:pPr>
              <w:spacing w:after="0" w:before="0"/>
            </w:pPr>
            <w:r>
              <w:rPr>
                <w:b/>
                <w:bCs/>
                <w:sz w:val="19"/>
                <w:szCs w:val="19"/>
              </w:rPr>
              <w:t xml:space="preserve">Frequency</w:t>
            </w:r>
          </w:p>
        </w:tc>
      </w:tr>
      <w:tr>
        <w:tc>
          <w:tcPr>
            <w:tcW w:type="dxa" w:w="5672"/>
            <w:tcMar>
              <w:top w:type="dxa" w:w="80"/>
              <w:left w:type="dxa" w:w="110"/>
              <w:bottom w:type="dxa" w:w="80"/>
              <w:right w:type="dxa" w:w="110"/>
            </w:tcMar>
          </w:tcPr>
          <w:p>
            <w:pPr>
              <w:spacing w:after="0" w:before="0"/>
            </w:pPr>
            <w:r>
              <w:rPr>
                <w:sz w:val="19"/>
                <w:szCs w:val="19"/>
              </w:rPr>
              <w:t xml:space="preserve">Tabletop exercise including IMT </w:t>
            </w:r>
            <w:r>
              <w:rPr>
                <w:b/>
                <w:bCs/>
                <w:sz w:val="19"/>
                <w:szCs w:val="19"/>
              </w:rPr>
              <w:t xml:space="preserve">and SEMT</w:t>
            </w:r>
          </w:p>
        </w:tc>
        <w:tc>
          <w:tcPr>
            <w:tcW w:type="dxa" w:w="3354"/>
            <w:tcMar>
              <w:top w:type="dxa" w:w="80"/>
              <w:left w:type="dxa" w:w="110"/>
              <w:bottom w:type="dxa" w:w="80"/>
              <w:right w:type="dxa" w:w="110"/>
            </w:tcMar>
          </w:tcPr>
          <w:p>
            <w:pPr>
              <w:spacing w:after="0" w:before="0"/>
            </w:pPr>
            <w:r>
              <w:rPr>
                <w:sz w:val="19"/>
                <w:szCs w:val="19"/>
              </w:rPr>
              <w:t xml:space="preserve">Annually</w:t>
            </w:r>
          </w:p>
        </w:tc>
      </w:tr>
      <w:tr>
        <w:tc>
          <w:tcPr>
            <w:tcW w:type="dxa" w:w="5672"/>
            <w:tcMar>
              <w:top w:type="dxa" w:w="80"/>
              <w:left w:type="dxa" w:w="110"/>
              <w:bottom w:type="dxa" w:w="80"/>
              <w:right w:type="dxa" w:w="110"/>
            </w:tcMar>
          </w:tcPr>
          <w:p>
            <w:pPr>
              <w:spacing w:after="0" w:before="0"/>
            </w:pPr>
            <w:r>
              <w:rPr>
                <w:sz w:val="19"/>
                <w:szCs w:val="19"/>
              </w:rPr>
              <w:t xml:space="preserve">Contact list verification</w:t>
            </w:r>
          </w:p>
        </w:tc>
        <w:tc>
          <w:tcPr>
            <w:tcW w:type="dxa" w:w="3354"/>
            <w:tcMar>
              <w:top w:type="dxa" w:w="80"/>
              <w:left w:type="dxa" w:w="110"/>
              <w:bottom w:type="dxa" w:w="80"/>
              <w:right w:type="dxa" w:w="110"/>
            </w:tcMar>
          </w:tcPr>
          <w:p>
            <w:pPr>
              <w:spacing w:after="0" w:before="0"/>
            </w:pPr>
            <w:r>
              <w:rPr>
                <w:sz w:val="19"/>
                <w:szCs w:val="19"/>
              </w:rPr>
              <w:t xml:space="preserve">Quarterly</w:t>
            </w:r>
          </w:p>
        </w:tc>
      </w:tr>
      <w:tr>
        <w:tc>
          <w:tcPr>
            <w:tcW w:type="dxa" w:w="5672"/>
            <w:tcMar>
              <w:top w:type="dxa" w:w="80"/>
              <w:left w:type="dxa" w:w="110"/>
              <w:bottom w:type="dxa" w:w="80"/>
              <w:right w:type="dxa" w:w="110"/>
            </w:tcMar>
          </w:tcPr>
          <w:p>
            <w:pPr>
              <w:spacing w:after="0" w:before="0"/>
            </w:pPr>
            <w:r>
              <w:rPr>
                <w:sz w:val="19"/>
                <w:szCs w:val="19"/>
              </w:rPr>
              <w:t xml:space="preserve">Plan review</w:t>
            </w:r>
          </w:p>
        </w:tc>
        <w:tc>
          <w:tcPr>
            <w:tcW w:type="dxa" w:w="3354"/>
            <w:tcMar>
              <w:top w:type="dxa" w:w="80"/>
              <w:left w:type="dxa" w:w="110"/>
              <w:bottom w:type="dxa" w:w="80"/>
              <w:right w:type="dxa" w:w="110"/>
            </w:tcMar>
          </w:tcPr>
          <w:p>
            <w:pPr>
              <w:spacing w:after="0" w:before="0"/>
            </w:pPr>
            <w:r>
              <w:rPr>
                <w:sz w:val="19"/>
                <w:szCs w:val="19"/>
              </w:rPr>
              <w:t xml:space="preserve">Annually and post-incident</w:t>
            </w:r>
          </w:p>
        </w:tc>
      </w:tr>
      <w:tr>
        <w:tc>
          <w:tcPr>
            <w:tcW w:type="dxa" w:w="5672"/>
            <w:tcMar>
              <w:top w:type="dxa" w:w="80"/>
              <w:left w:type="dxa" w:w="110"/>
              <w:bottom w:type="dxa" w:w="80"/>
              <w:right w:type="dxa" w:w="110"/>
            </w:tcMar>
          </w:tcPr>
          <w:p>
            <w:pPr>
              <w:spacing w:after="0" w:before="0"/>
            </w:pPr>
            <w:r>
              <w:rPr>
                <w:sz w:val="19"/>
                <w:szCs w:val="19"/>
              </w:rPr>
              <w:t xml:space="preserve">Playbook review</w:t>
            </w:r>
          </w:p>
        </w:tc>
        <w:tc>
          <w:tcPr>
            <w:tcW w:type="dxa" w:w="3354"/>
            <w:tcMar>
              <w:top w:type="dxa" w:w="80"/>
              <w:left w:type="dxa" w:w="110"/>
              <w:bottom w:type="dxa" w:w="80"/>
              <w:right w:type="dxa" w:w="110"/>
            </w:tcMar>
          </w:tcPr>
          <w:p>
            <w:pPr>
              <w:spacing w:after="0" w:before="0"/>
            </w:pPr>
            <w:r>
              <w:rPr>
                <w:sz w:val="19"/>
                <w:szCs w:val="19"/>
              </w:rPr>
              <w:t xml:space="preserve">Annually</w:t>
            </w:r>
          </w:p>
        </w:tc>
      </w:tr>
      <w:tr>
        <w:tc>
          <w:tcPr>
            <w:tcW w:type="dxa" w:w="5672"/>
            <w:tcMar>
              <w:top w:type="dxa" w:w="80"/>
              <w:left w:type="dxa" w:w="110"/>
              <w:bottom w:type="dxa" w:w="80"/>
              <w:right w:type="dxa" w:w="110"/>
            </w:tcMar>
          </w:tcPr>
          <w:p>
            <w:pPr>
              <w:spacing w:after="0" w:before="0"/>
            </w:pPr>
            <w:r>
              <w:rPr>
                <w:sz w:val="19"/>
                <w:szCs w:val="19"/>
              </w:rPr>
              <w:t xml:space="preserve">Pre-drafted holding statements review</w:t>
            </w:r>
          </w:p>
        </w:tc>
        <w:tc>
          <w:tcPr>
            <w:tcW w:type="dxa" w:w="3354"/>
            <w:tcMar>
              <w:top w:type="dxa" w:w="80"/>
              <w:left w:type="dxa" w:w="110"/>
              <w:bottom w:type="dxa" w:w="80"/>
              <w:right w:type="dxa" w:w="110"/>
            </w:tcMar>
          </w:tcPr>
          <w:p>
            <w:pPr>
              <w:spacing w:after="0" w:before="0"/>
            </w:pPr>
            <w:r>
              <w:rPr>
                <w:sz w:val="19"/>
                <w:szCs w:val="19"/>
              </w:rPr>
              <w:t xml:space="preserve">Annually</w:t>
            </w:r>
          </w:p>
        </w:tc>
      </w:tr>
      <w:tr>
        <w:tc>
          <w:tcPr>
            <w:tcW w:type="dxa" w:w="5672"/>
            <w:tcMar>
              <w:top w:type="dxa" w:w="80"/>
              <w:left w:type="dxa" w:w="110"/>
              <w:bottom w:type="dxa" w:w="80"/>
              <w:right w:type="dxa" w:w="110"/>
            </w:tcMar>
          </w:tcPr>
          <w:p>
            <w:pPr>
              <w:spacing w:after="0" w:before="0"/>
            </w:pPr>
            <w:r>
              <w:rPr>
                <w:sz w:val="19"/>
                <w:szCs w:val="19"/>
              </w:rPr>
              <w:t xml:space="preserve">NIS2 / GDPR applicability re-confirmation</w:t>
            </w:r>
          </w:p>
        </w:tc>
        <w:tc>
          <w:tcPr>
            <w:tcW w:type="dxa" w:w="3354"/>
            <w:tcMar>
              <w:top w:type="dxa" w:w="80"/>
              <w:left w:type="dxa" w:w="110"/>
              <w:bottom w:type="dxa" w:w="80"/>
              <w:right w:type="dxa" w:w="110"/>
            </w:tcMar>
          </w:tcPr>
          <w:p>
            <w:pPr>
              <w:spacing w:after="0" w:before="0"/>
            </w:pPr>
            <w:r>
              <w:rPr>
                <w:sz w:val="19"/>
                <w:szCs w:val="19"/>
              </w:rPr>
              <w:t xml:space="preserve">Annually, and on any change of activity</w:t>
            </w:r>
          </w:p>
        </w:tc>
      </w:tr>
    </w:tbl>
    <w:p>
      <w:pPr>
        <w:spacing w:after="160"/>
      </w:pPr>
      <w:r>
        <w:t xml:space="preserve"/>
      </w:r>
    </w:p>
    <w:p>
      <w:pPr>
        <w:spacing w:after="140" w:line="276"/>
        <w:jc w:val="both"/>
      </w:pPr>
      <w:r>
        <w:t xml:space="preserve">Exercises must include executives. The gap this plan exists to close cannot be tested in a drill attended only by the security team.</w:t>
      </w:r>
    </w:p>
    <w:p>
      <w:pPr>
        <w:pBdr>
          <w:bottom w:val="single" w:color="C6CEDC" w:sz="6" w:space="6"/>
        </w:pBdr>
        <w:spacing w:after="160" w:before="60"/>
      </w:pPr>
      <w:r>
        <w:t xml:space="preserve"/>
      </w:r>
    </w:p>
    <w:p>
      <w:pPr>
        <w:pStyle w:val="Heading1"/>
        <w:spacing w:after="120" w:before="260"/>
      </w:pPr>
      <w:r>
        <w:t xml:space="preserve">Appendices</w:t>
      </w:r>
    </w:p>
    <w:p>
      <w:pPr>
        <w:spacing w:after="140" w:line="276"/>
        <w:jc w:val="both"/>
      </w:pPr>
      <w:r>
        <w:t xml:space="preserve">A. Situation report · B. Incident log · C. Resolution action plan · D. Evidence register · E. Contacts — IMT, SEMT, national CSIRT, supervisory authority, medicines authority, external IR provider, legal, insurer · F. Pre-drafted holding statements · G. NIS2 early warning submission template</w:t>
      </w:r>
    </w:p>
    <w:p>
      <w:pPr>
        <w:pBdr>
          <w:bottom w:val="single" w:color="C6CEDC" w:sz="6" w:space="6"/>
        </w:pBdr>
        <w:spacing w:after="160" w:before="60"/>
      </w:pPr>
      <w:r>
        <w:t xml:space="preserve"/>
      </w:r>
    </w:p>
    <w:p>
      <w:r>
        <w:br w:type="page"/>
      </w:r>
    </w:p>
    <w:p>
      <w:pPr>
        <w:pStyle w:val="Heading1"/>
        <w:spacing w:after="120" w:before="240"/>
      </w:pPr>
      <w:r>
        <w:t xml:space="preserve">Design notes</w:t>
      </w:r>
    </w:p>
    <w:p>
      <w:pPr>
        <w:spacing w:after="140" w:line="276"/>
        <w:jc w:val="both"/>
      </w:pPr>
      <w:r>
        <w:t xml:space="preserve">Not part of the plan — my reasoning.</w:t>
      </w:r>
    </w:p>
    <w:p>
      <w:pPr>
        <w:spacing w:after="140" w:line="276"/>
        <w:jc w:val="both"/>
      </w:pPr>
      <w:r>
        <w:rPr>
          <w:b/>
          <w:bCs/>
        </w:rPr>
        <w:t xml:space="preserve">Why an EU basis.</w:t>
      </w:r>
      <w:r>
        <w:t xml:space="preserve"> The first draft of this plan used an Australian government template. The structure transferred fine and the </w:t>
      </w:r>
      <w:r>
        <w:rPr>
          <w:i/>
          <w:iCs/>
        </w:rPr>
        <w:t xml:space="preserve">regulatory spine did not</w:t>
      </w:r>
      <w:r>
        <w:t xml:space="preserve">, which is the part of an incident response plan that carries real consequence. Reporting deadlines are jurisdictional, and a plan built on the wrong ones produces a well-organised response that misses a statutory notification. So this version is built on ENISA's incident management guidance for structure and vocabulary, with NIS2 and GDPR as the notification backbone.</w:t>
      </w:r>
    </w:p>
    <w:p>
      <w:pPr>
        <w:spacing w:after="140" w:line="276"/>
        <w:jc w:val="both"/>
      </w:pPr>
      <w:r>
        <w:rPr>
          <w:b/>
          <w:bCs/>
        </w:rPr>
        <w:t xml:space="preserve">The multi-stage NIS2 reporting is the distinctive EU element</w:t>
      </w:r>
      <w:r>
        <w:t xml:space="preserve">, and it changes the shape of the plan. A single 72-hour deadline can be handled as a task. A 24-hour early warning means the </w:t>
      </w:r>
      <w:r>
        <w:rPr>
          <w:i/>
          <w:iCs/>
        </w:rPr>
        <w:t xml:space="preserve">first day</w:t>
      </w:r>
      <w:r>
        <w:t xml:space="preserve"> of an incident includes a regulatory submission — while the facts are still unclear. That is why triage is time-boxed to an hour and why regulatory assessment is a standing agenda item rather than a later step.</w:t>
      </w:r>
    </w:p>
    <w:p>
      <w:pPr>
        <w:spacing w:after="140" w:line="276"/>
        <w:jc w:val="both"/>
      </w:pPr>
      <w:r>
        <w:rPr>
          <w:b/>
          <w:bCs/>
        </w:rPr>
        <w:t xml:space="preserve">Section 2 exists because applicability is not assumed.</w:t>
      </w:r>
      <w:r>
        <w:t xml:space="preserve"> NIS2 Annex I covers the health sector and pharmaceutical manufacture, so Oscorp is likely in scope — but "likely" is not a basis for a plan. Legal confirms classification, competent authority and CSIRT before endorsement. This is the same applicability discipline as the Oscorp regulatory analysis in module 1: comply with what is triggered, not with everything named.</w:t>
      </w:r>
    </w:p>
    <w:p>
      <w:pPr>
        <w:spacing w:after="140" w:line="276"/>
        <w:jc w:val="both"/>
      </w:pPr>
      <w:r>
        <w:rPr>
          <w:b/>
          <w:bCs/>
        </w:rPr>
        <w:t xml:space="preserve">Why this plan is not technical.</w:t>
      </w:r>
      <w:r>
        <w:t xml:space="preserve"> Oscorp's stated problem is no procedure for engaging senior managers during a crisis — a decision and communication gap. Module 8 lesson 4 separates the enterprise plan from scenario playbooks, and the common failure is one document attempting both.</w:t>
      </w:r>
    </w:p>
    <w:p>
      <w:pPr>
        <w:spacing w:after="140" w:line="276"/>
        <w:jc w:val="both"/>
      </w:pPr>
      <w:r>
        <w:rPr>
          <w:b/>
          <w:bCs/>
        </w:rPr>
        <w:t xml:space="preserve">Three escalation triggers are Oscorp-specific.</w:t>
      </w:r>
      <w:r>
        <w:t xml:space="preserve"> Research IP or formulation data; any indication that research data </w:t>
      </w:r>
      <w:r>
        <w:rPr>
          <w:i/>
          <w:iCs/>
        </w:rPr>
        <w:t xml:space="preserve">integrity</w:t>
      </w:r>
      <w:r>
        <w:t xml:space="preserve"> is affected; anything touching laboratory systems. The integrity trigger matters most — the medicine is marketed and has already drawn press attention over side effects, so an incident affecting the supporting data is a patient safety matter. A security-only response to that would be the wrong response.</w:t>
      </w:r>
    </w:p>
    <w:p>
      <w:pPr>
        <w:spacing w:after="140" w:line="276"/>
        <w:jc w:val="both"/>
      </w:pPr>
      <w:r>
        <w:rPr>
          <w:b/>
          <w:bCs/>
        </w:rPr>
        <w:t xml:space="preserve">The conflict of interest clause</w:t>
      </w:r>
      <w:r>
        <w:t xml:space="preserve"> is adapted from Carnegie Mellon's published plan, which specifies what happens when the responder is themselves a person of interest. At Oscorp the crown jewel is owned by the Chief Scientist and sponsored by the CEO, and there has already been one suspected insider disclosure.</w:t>
      </w:r>
    </w:p>
    <w:p>
      <w:pPr>
        <w:spacing w:after="140" w:line="276"/>
        <w:jc w:val="both"/>
      </w:pPr>
      <w:r>
        <w:rPr>
          <w:b/>
          <w:bCs/>
        </w:rPr>
        <w:t xml:space="preserve">Evidence preservation sits in parallel with containment.</w:t>
      </w:r>
      <w:r>
        <w:t xml:space="preserve"> The instinct under pressure is to wipe and rebuild, which destroys the basis for any regulatory submission, insurance claim or prosecution.</w:t>
      </w:r>
    </w:p>
    <w:p>
      <w:pPr>
        <w:spacing w:after="140" w:line="276"/>
        <w:jc w:val="both"/>
      </w:pPr>
      <w:r>
        <w:rPr>
          <w:b/>
          <w:bCs/>
        </w:rPr>
        <w:t xml:space="preserve">Placeholders are visible on purpose.</w:t>
      </w:r>
      <w:r>
        <w:t xml:space="preserve"> Contacts, thresholds and authority names are Oscorp's to supply. A plan with invented details reads complete and cannot be used.</w:t>
      </w:r>
    </w:p>
    <w:p>
      <w:pPr>
        <w:spacing w:after="140" w:line="276"/>
        <w:jc w:val="both"/>
      </w:pPr>
      <w:r>
        <w:rPr>
          <w:b/>
          <w:bCs/>
        </w:rPr>
        <w:t xml:space="preserve">Next step beyond the document.</w:t>
      </w:r>
      <w:r>
        <w:t xml:space="preserve"> A tabletop with the SEMT within </w:t>
      </w:r>
      <w:r>
        <w:rPr>
          <w:rFonts w:ascii="Consolas" w:cs="Consolas" w:eastAsia="Consolas" w:hAnsi="Consolas"/>
          <w:sz w:val="19"/>
          <w:szCs w:val="19"/>
        </w:rPr>
        <w:t xml:space="preserve">&lt;30 days&gt;</w:t>
      </w:r>
      <w:r>
        <w:t xml:space="preserve"> of endorsement. Until then the plan is an untested hypothesis, and the problem it addresses — executives not knowing how to engage — is only solved once they have practised it once.</w:t>
      </w:r>
    </w:p>
    <w:p>
      <w:pPr>
        <w:pStyle w:val="Heading1"/>
        <w:spacing w:after="120" w:before="260"/>
      </w:pPr>
      <w:r>
        <w:t xml:space="preserve">Sources</w:t>
      </w:r>
    </w:p>
    <w:p>
      <w:pPr>
        <w:pStyle w:val="ListParagraph"/>
        <w:numPr>
          <w:ilvl w:val="0"/>
          <w:numId w:val="2"/>
        </w:numPr>
        <w:spacing w:after="90" w:line="276"/>
      </w:pPr>
      <w:r>
        <w:t xml:space="preserve">ENISA, </w:t>
      </w:r>
      <w:r>
        <w:rPr>
          <w:i/>
          <w:iCs/>
        </w:rPr>
        <w:t xml:space="preserve">Good Practice Guide for Incident Management</w:t>
      </w:r>
      <w:r>
        <w:t xml:space="preserve"> — </w:t>
      </w:r>
      <w:hyperlink w:history="1" r:id="rIdeqpk_kbqyixo_ckhzz505">
        <w:r>
          <w:rPr>
            <w:rStyle w:val="Hyperlink"/>
            <w:sz w:val="18"/>
            <w:szCs w:val="18"/>
          </w:rPr>
          <w:t xml:space="preserve">https://www.enisa.europa.eu/sites/default/files/publications/Incident_Management_guide.pdf</w:t>
        </w:r>
      </w:hyperlink>
    </w:p>
    <w:p>
      <w:pPr>
        <w:pStyle w:val="ListParagraph"/>
        <w:numPr>
          <w:ilvl w:val="0"/>
          <w:numId w:val="2"/>
        </w:numPr>
        <w:spacing w:after="90" w:line="276"/>
      </w:pPr>
      <w:r>
        <w:t xml:space="preserve">ENISA, Incident response topic — </w:t>
      </w:r>
      <w:hyperlink w:history="1" r:id="rIdbzkaobdi1hvv9x4ocevjk">
        <w:r>
          <w:rPr>
            <w:rStyle w:val="Hyperlink"/>
            <w:sz w:val="18"/>
            <w:szCs w:val="18"/>
          </w:rPr>
          <w:t xml:space="preserve">https://www.enisa.europa.eu/topics/incident-response</w:t>
        </w:r>
      </w:hyperlink>
    </w:p>
    <w:p>
      <w:pPr>
        <w:pStyle w:val="ListParagraph"/>
        <w:numPr>
          <w:ilvl w:val="0"/>
          <w:numId w:val="2"/>
        </w:numPr>
        <w:spacing w:after="90" w:line="276"/>
      </w:pPr>
      <w:r>
        <w:t xml:space="preserve">European Commission, </w:t>
      </w:r>
      <w:r>
        <w:rPr>
          <w:i/>
          <w:iCs/>
        </w:rPr>
        <w:t xml:space="preserve">NIS2 Directive FAQs</w:t>
      </w:r>
      <w:r>
        <w:t xml:space="preserve"> (reporting stages and deadlines) — </w:t>
      </w:r>
      <w:hyperlink w:history="1" r:id="rIdma94_q72vnoeghkjqn2gp">
        <w:r>
          <w:rPr>
            <w:rStyle w:val="Hyperlink"/>
            <w:sz w:val="18"/>
            <w:szCs w:val="18"/>
          </w:rPr>
          <w:t xml:space="preserve">https://digital-strategy.ec.europa.eu/en/faqs/directive-measures-high-common-level-cybersecurity-across-union-nis2-directive-faqs</w:t>
        </w:r>
      </w:hyperlink>
    </w:p>
    <w:p>
      <w:pPr>
        <w:pStyle w:val="ListParagraph"/>
        <w:numPr>
          <w:ilvl w:val="0"/>
          <w:numId w:val="2"/>
        </w:numPr>
        <w:spacing w:after="90" w:line="276"/>
      </w:pPr>
      <w:r>
        <w:t xml:space="preserve">Directive (EU) 2022/2555 (NIS2) — </w:t>
      </w:r>
      <w:hyperlink w:history="1" r:id="rIdeesjnjwldsbp-cazzzd3d">
        <w:r>
          <w:rPr>
            <w:rStyle w:val="Hyperlink"/>
            <w:sz w:val="18"/>
            <w:szCs w:val="18"/>
          </w:rPr>
          <w:t xml:space="preserve">https://eur-lex.europa.eu/legal-content/EN/TXT/HTML/?uri=CELEX%3A32022L2555</w:t>
        </w:r>
      </w:hyperlink>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7"/>
        <w:szCs w:val="17"/>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6CEDC" w:sz="4" w:space="4"/>
      </w:pBdr>
      <w:tabs>
        <w:tab w:val="right" w:pos="9026"/>
      </w:tabs>
    </w:pPr>
    <w:r>
      <w:rPr>
        <w:color w:val="666666"/>
        <w:sz w:val="17"/>
        <w:szCs w:val="17"/>
      </w:rPr>
      <w:t xml:space="preserve">Oscorp — Enterprise Cyber Incident Response Plan	v1.0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30" w:before="260"/>
    </w:pPr>
    <w:rPr>
      <w:rFonts w:ascii="Calibri" w:cs="Calibri" w:eastAsia="Calibri" w:hAnsi="Calibri"/>
      <w:b/>
      <w:bCs/>
      <w:color w:val="1F3864"/>
      <w:sz w:val="32"/>
      <w:szCs w:val="32"/>
    </w:rPr>
  </w:style>
  <w:style w:type="paragraph" w:styleId="Heading2">
    <w:name w:val="Heading 2"/>
    <w:basedOn w:val="Normal"/>
    <w:next w:val="Normal"/>
    <w:qFormat/>
    <w:pPr>
      <w:spacing w:after="110" w:before="240"/>
    </w:pPr>
    <w:rPr>
      <w:rFonts w:ascii="Calibri" w:cs="Calibri" w:eastAsia="Calibri" w:hAnsi="Calibri"/>
      <w:b/>
      <w:bCs/>
      <w:color w:val="1F3864"/>
      <w:sz w:val="25"/>
      <w:szCs w:val="25"/>
    </w:rPr>
  </w:style>
  <w:style w:type="paragraph" w:styleId="Heading3">
    <w:name w:val="Heading 3"/>
    <w:basedOn w:val="Normal"/>
    <w:next w:val="Normal"/>
    <w:qFormat/>
    <w:pPr>
      <w:spacing w:after="90" w:before="200"/>
    </w:pPr>
    <w:rPr>
      <w:rFonts w:ascii="Calibri" w:cs="Calibri" w:eastAsia="Calibri" w:hAnsi="Calibri"/>
      <w:b/>
      <w:bCs/>
      <w:color w:val="2F5496"/>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eqpk_kbqyixo_ckhzz505" Type="http://schemas.openxmlformats.org/officeDocument/2006/relationships/hyperlink" Target="https://www.enisa.europa.eu/sites/default/files/publications/Incident_Management_guide.pdf" TargetMode="External"/><Relationship Id="rIdbzkaobdi1hvv9x4ocevjk" Type="http://schemas.openxmlformats.org/officeDocument/2006/relationships/hyperlink" Target="https://www.enisa.europa.eu/topics/incident-response" TargetMode="External"/><Relationship Id="rIdma94_q72vnoeghkjqn2gp" Type="http://schemas.openxmlformats.org/officeDocument/2006/relationships/hyperlink" Target="https://digital-strategy.ec.europa.eu/en/faqs/directive-measures-high-common-level-cybersecurity-across-union-nis2-directive-faqs" TargetMode="External"/><Relationship Id="rIdeesjnjwldsbp-cazzzd3d" Type="http://schemas.openxmlformats.org/officeDocument/2006/relationships/hyperlink" Target="https://eur-lex.europa.eu/legal-content/EN/TXT/HTML/?uri=CELEX%3A32022L2555"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Oscorp Enterprise Cyber Incident Response Plan</dc:title>
  <dc:creator>Frank Remmy</dc:creator>
  <dc:description>GRC Mastery Module 08 practical assessment</dc:description>
  <cp:lastModifiedBy>Un-named</cp:lastModifiedBy>
  <cp:revision>1</cp:revision>
  <dcterms:created xsi:type="dcterms:W3CDTF">2026-09-21T10:27:06.402Z</dcterms:created>
  <dcterms:modified xsi:type="dcterms:W3CDTF">2026-09-21T10:27:06.415Z</dcterms:modified>
</cp:coreProperties>
</file>

<file path=docProps/custom.xml><?xml version="1.0" encoding="utf-8"?>
<Properties xmlns="http://schemas.openxmlformats.org/officeDocument/2006/custom-properties" xmlns:vt="http://schemas.openxmlformats.org/officeDocument/2006/docPropsVTypes"/>
</file>