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3311976" cy="1030852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76" cy="10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Microsoft YaHei" w:hAnsi="Arial"/>
          <w:b/>
          <w:bCs/>
          <w:color w:val="04518E"/>
          <w:sz w:val="52"/>
          <w:szCs w:val="52"/>
        </w:rPr>
        <w:t xml:space="preserve">规则精要</w:t>
      </w:r>
      <w:r>
        <w:rPr>
          <w:rFonts w:ascii="Arial" w:cs="Arial" w:eastAsia="Microsoft YaHei" w:hAnsi="Arial"/>
          <w:b/>
          <w:bCs/>
          <w:color w:val="0B2545"/>
          <w:sz w:val="32"/>
          <w:szCs w:val="32"/>
        </w:rPr>
        <w:t xml:space="preserve">　比赛守则</w:t>
      </w:r>
    </w:p>
    <w:p>
      <w:pPr>
        <w:spacing w:after="240"/>
      </w:pPr>
      <w:r>
        <w:rPr>
          <w:rFonts w:ascii="Arial" w:cs="Arial" w:eastAsia="Microsoft YaHei" w:hAnsi="Arial"/>
          <w:b/>
          <w:bCs/>
          <w:color w:val="5A6B80"/>
          <w:spacing w:val="30"/>
          <w:sz w:val="18"/>
          <w:szCs w:val="18"/>
        </w:rPr>
        <w:t xml:space="preserve">LAWS OF THE GAME · QUICK GUIDE FOR COACHES &amp; PARENTS</w:t>
      </w:r>
    </w:p>
    <w:tbl>
      <w:tblPr>
        <w:tblW w:type="dxa" w:w="88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44"/>
      </w:tblGrid>
      <w:tr>
        <w:tc>
          <w:tcPr>
            <w:tcW w:type="dxa" w:w="8844"/>
            <w:shd w:fill="E6EEF6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60" w:line="32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亲爱的家长和教练：</w:t>
            </w:r>
          </w:p>
          <w:p>
            <w:pPr>
              <w:spacing w:after="60" w:line="320"/>
              <w:ind w:firstLine="40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熊猫精英联赛的办赛理念是——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20"/>
                <w:szCs w:val="20"/>
              </w:rPr>
              <w:t xml:space="preserve">为了每个人更好的成长</w:t>
            </w: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。我们希望各位更多地关注孩子长期的成长和发展，而不仅仅是眼前一场比赛的输赢，或某一届比赛的名次。</w:t>
            </w:r>
          </w:p>
          <w:p>
            <w:pPr>
              <w:spacing w:after="60" w:line="320"/>
              <w:ind w:firstLine="40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比赛是足球运动的核心，是孩子们锻炼和成长的方式。因此，我们请每一位教练保证每个孩子都有足够且公平的上场时间，让孩子们作出属于自己的决策，更自由地面对场上的每一次挑战。孩子们会失误，这个时候，他们更需要我们的支持和鼓励。</w:t>
            </w:r>
          </w:p>
          <w:p>
            <w:pPr>
              <w:spacing w:after="60" w:line="320"/>
              <w:ind w:firstLine="40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我们也希望与大家共同约定“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20"/>
                <w:szCs w:val="20"/>
              </w:rPr>
              <w:t xml:space="preserve">尊重</w:t>
            </w: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”与“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20"/>
                <w:szCs w:val="20"/>
              </w:rPr>
              <w:t xml:space="preserve">正能量</w:t>
            </w: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”：尊重执裁的决定，尊重孩子们的决定，尊重对方的教练和家长，不遥控小球员，始终给他们鼓励。</w:t>
            </w:r>
          </w:p>
        </w:tc>
      </w:tr>
    </w:tbl>
    <w:p>
      <w:pPr>
        <w:pStyle w:val="Heading1"/>
      </w:pPr>
      <w:r>
        <w:t xml:space="preserve">一、比赛基本信息</w:t>
      </w: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none" w:color="FFFFFF" w:sz="0"/>
        </w:tblBorders>
        <w:tblLayout w:type="fixed"/>
      </w:tblPr>
      <w:tblGrid>
        <w:gridCol w:w="1300"/>
        <w:gridCol w:w="3122"/>
        <w:gridCol w:w="1300"/>
        <w:gridCol w:w="3122"/>
      </w:tblGrid>
      <w:tr>
        <w:trPr>
          <w:cantSplit/>
        </w:trPr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比赛形式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八人制（7 + 1 守门员）</w:t>
            </w:r>
          </w:p>
        </w:tc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组别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U10（2016.1.1 后出生）· U11（2015.1.1 后出生）</w:t>
            </w:r>
          </w:p>
        </w:tc>
      </w:tr>
      <w:tr>
        <w:trPr>
          <w:cantSplit/>
        </w:trPr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比赛时间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20 分钟；节间休息 2 分钟，中场 ≤10 分钟</w:t>
            </w:r>
          </w:p>
        </w:tc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比赛用球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号球</w:t>
            </w:r>
          </w:p>
        </w:tc>
      </w:tr>
      <w:tr>
        <w:trPr>
          <w:cantSplit/>
        </w:trPr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场地 / 球门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约 68 × 50 m / 5 × 2 m</w:t>
            </w:r>
          </w:p>
        </w:tc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换人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滚动换人，不限次数，换人区击掌上下</w:t>
            </w:r>
          </w:p>
        </w:tc>
      </w:tr>
      <w:tr>
        <w:trPr>
          <w:cantSplit/>
        </w:trPr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上场时间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全员均等，每人 ≥ 全场一半；位置轮换（含守门员）</w:t>
            </w:r>
          </w:p>
        </w:tc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越位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仅在越位区（越位线至球门线）判罚</w:t>
            </w:r>
          </w:p>
        </w:tc>
      </w:tr>
      <w:tr>
        <w:trPr>
          <w:cantSplit/>
        </w:trPr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执裁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双方教练员各执裁半场，比赛监督协助</w:t>
            </w:r>
          </w:p>
        </w:tc>
        <w:tc>
          <w:tcPr>
            <w:tcW w:type="dxa" w:w="13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比赛日</w:t>
            </w:r>
          </w:p>
        </w:tc>
        <w:tc>
          <w:tcPr>
            <w:tcW w:type="dxa" w:w="31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2026 秋季 · 每周六下午 · 四川新北足球中心</w:t>
            </w:r>
          </w:p>
        </w:tc>
      </w:tr>
    </w:tbl>
    <w:p>
      <w:pPr>
        <w:pStyle w:val="Heading1"/>
      </w:pPr>
      <w:r>
        <w:t xml:space="preserve">二、特色规则</w:t>
      </w: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FFFFFF" w:sz="12"/>
          <w:insideV w:val="none" w:color="FFFFFF" w:sz="0"/>
        </w:tblBorders>
        <w:tblLayout w:type="fixed"/>
      </w:tblPr>
      <w:tblGrid>
        <w:gridCol w:w="700"/>
        <w:gridCol w:w="1900"/>
        <w:gridCol w:w="6244"/>
      </w:tblGrid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保持竞争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落后 3 球多上 1 人，落后 4 球及以上多上 2 人（最多 2 人）；分差回落，最后上场的增加队员就近下场。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全员均等上场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每名到场球员上场时间相同、不少于全场一半；每场至少两个位置；守门员每场至少轮换一次。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滚动换人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换上可以换下，不限次数，不用停表；在换人区击掌上下（像五人制一样）。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越位区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越位只在场地内第一个五人制场地边线（越位线）与球门线之间判罚，越位线以外不算越位。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退守线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踢球门球或守门员手中持球时，对方退到中线以后，直至本方另一名队员触球或球过中线。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多球制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场边摆放比赛用球，出界就近取球。非比赛人员不得触碰摆放好的比赛用球。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判罚尺度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正常的身体对抗、单手轻微拉拽不判犯规；报复、肘击、双手抱人/拉拽、从后方推人或铲人等至少黄牌。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暂时罚离 · 冷静区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黄牌 = 暂时罚离 8 分钟到冷静区，球队可立即补人，保证仍是 8 对 8；时间到后回替补席再上场。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绿牌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诚实承认出界、扶起对手、主动道歉、被误判仍有礼貌——获得绿牌表彰，计入公平竞赛奖。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比分保护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比分照常记录，但积分排名中每场净胜球最多按 6 球计算，减少大比分对孩子的打击。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不鼓励头球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保护孩子的头颈部：故意头球由对方踢间接任意球；疑似头部受伤“有疑问，就下场”。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教练员执裁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双方教练各执裁半场，可用电子口哨；执裁时可安排换人、提问，但不能指挥场上球员。</w:t>
            </w:r>
          </w:p>
        </w:tc>
      </w:tr>
    </w:tbl>
    <w:p>
      <w:pPr>
        <w:pStyle w:val="Heading1"/>
      </w:pPr>
      <w:r>
        <w:t xml:space="preserve">三、场地与功能区</w:t>
      </w:r>
    </w:p>
    <w:p>
      <w:pPr>
        <w:jc w:val="center"/>
      </w:pPr>
      <w:r>
        <w:drawing>
          <wp:inline distT="0" distB="0" distL="0" distR="0">
            <wp:extent cx="3239976" cy="3077978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76" cy="307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四、赛场守则</w:t>
      </w:r>
    </w:p>
    <w:tbl>
      <w:tblPr>
        <w:tblW w:type="dxa" w:w="8844"/>
        <w:tblBorders>
          <w:top w:val="none" w:color="FFFFFF" w:sz="0"/>
          <w:left w:val="none" w:color="FFFFFF" w:sz="0"/>
          <w:bottom w:val="single" w:color="C9D5E3" w:sz="4"/>
          <w:right w:val="none" w:color="FFFFFF" w:sz="0"/>
          <w:insideH w:val="none" w:color="FFFFFF" w:sz="0"/>
          <w:insideV w:val="single" w:color="FFFFFF" w:sz="24"/>
        </w:tblBorders>
        <w:tblLayout w:type="fixed"/>
      </w:tblPr>
      <w:tblGrid>
        <w:gridCol w:w="2948"/>
        <w:gridCol w:w="2948"/>
        <w:gridCol w:w="2948"/>
      </w:tblGrid>
      <w:tr>
        <w:tc>
          <w:tcPr>
            <w:tcW w:type="dxa" w:w="2948"/>
            <w:shd w:fill="2FB45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家长守则</w:t>
            </w:r>
          </w:p>
        </w:tc>
        <w:tc>
          <w:tcPr>
            <w:tcW w:type="dxa" w:w="2948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教练员守则</w:t>
            </w:r>
          </w:p>
        </w:tc>
        <w:tc>
          <w:tcPr>
            <w:tcW w:type="dxa" w:w="2948"/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球员守则</w:t>
            </w:r>
          </w:p>
        </w:tc>
      </w:tr>
      <w:tr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家长须停留在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家长观赛区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（与边线保持至少 2 米距离），可以为孩子加油、鼓掌。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不得有干扰球员决策的行为：不在场边指挥、命令，不对任何球员打骂、讽刺、威胁、嘲笑。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比赛进行中不进入场地为孩子擦汗、喂水、拿书包等（球员受伤等特殊情况除外，须经执裁人员示意）。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尊重执裁人员（执裁教练 / 场地引导员）的判罚，不指责球员、教练员、执裁人员和组委会工作人员。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赛后多问孩子“今天开心吗？尝试了什么？”，少问“赢了吗？进了几个球？”。</w:t>
            </w:r>
          </w:p>
        </w:tc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在比赛中可以：指导替补队员、安排换人、向队员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提问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、为队员加油。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在比赛中不可以：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遥控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场上球员——如直接命令传球、射门、向左、加速、变向、向后、带球等剥夺球员自主决策的指令。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不得对任何人有打骂、指挥式命令、讽刺、威胁、嘲笑等负面语言行为。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技术战术指导在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节间休息、中场休息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进行；场边只做简短的鼓励性示意。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保证每一名到场球员的上场时间与位置轮换，如实填写《上场时间记录表》。</w:t>
            </w:r>
          </w:p>
        </w:tc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尊重对手、队友、执裁人员和观众；赛前赛后与对手握手。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全力以赴，胜不骄、败不馁；大胆尝试，不怕失误。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诚实比赛：球出界、碰手球主动承认；对手摔倒主动扶起。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服从执裁，有疑问请队长礼貌询问。</w:t>
            </w:r>
          </w:p>
        </w:tc>
      </w:tr>
    </w:tbl>
    <w:p>
      <w:pPr>
        <w:spacing w:after="60" w:before="200" w:line="340"/>
        <w:jc w:val="both"/>
      </w:pP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赛场礼仪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：赛前赛后双方握手；比赛结束后，双方球队在队长带领下列队到对方技术区、观众区前集体行礼致谢。</w:t>
      </w:r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5A6B80"/>
          <w:sz w:val="19"/>
          <w:szCs w:val="19"/>
        </w:rPr>
        <w:t xml:space="preserve">未尽事宜以《2026 熊猫精英足球联赛（秋季）竞赛规程》为准。</w:t>
      </w:r>
    </w:p>
    <w:p>
      <w:pPr>
        <w:spacing w:before="300"/>
        <w:jc w:val="right"/>
      </w:pPr>
      <w:r>
        <w:rPr>
          <w:rFonts w:ascii="Arial" w:cs="Arial" w:eastAsia="Microsoft YaHei" w:hAnsi="Arial"/>
          <w:b/>
          <w:bCs/>
          <w:color w:val="13202F"/>
          <w:sz w:val="22"/>
          <w:szCs w:val="22"/>
        </w:rPr>
        <w:t xml:space="preserve">熊猫精英联赛赛区组委会</w:t>
      </w:r>
    </w:p>
    <w:p>
      <w:pPr>
        <w:jc w:val="right"/>
      </w:pPr>
      <w:r>
        <w:rPr>
          <w:rFonts w:ascii="Times New Roman" w:cs="Times New Roman" w:eastAsia="SimSun" w:hAnsi="Times New Roman"/>
          <w:color w:val="13202F"/>
          <w:sz w:val="20"/>
          <w:szCs w:val="20"/>
        </w:rPr>
        <w:t xml:space="preserve">2026 年 10 月</w:t>
      </w:r>
    </w:p>
    <w:sectPr>
      <w:headerReference w:type="default" r:id="rId6"/>
      <w:footerReference w:type="default" r:id="rId7"/>
      <w:pgSz w:w="11906" w:h="16838" w:orient="portrait"/>
      <w:pgMar w:top="1531" w:right="1531" w:bottom="1361" w:left="1531" w:header="720" w:footer="6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422"/>
        <w:tab w:val="right" w:pos="8844"/>
      </w:tabs>
    </w:pPr>
    <w:r>
      <w:rPr>
        <w:rFonts w:ascii="Arial" w:cs="Arial" w:eastAsia="Microsoft YaHei" w:hAnsi="Arial"/>
        <w:color w:val="5A6B80"/>
        <w:sz w:val="15"/>
        <w:szCs w:val="15"/>
      </w:rPr>
      <w:t xml:space="preserve">PEL-2026A-LOG · v1.0</w:t>
    </w:r>
    <w:r>
      <w:rPr>
        <w:rFonts w:ascii="Arial" w:cs="Arial" w:eastAsia="Microsoft YaHei" w:hAnsi="Arial"/>
        <w:color w:val="5A6B80"/>
        <w:sz w:val="15"/>
        <w:szCs w:val="15"/>
      </w:rPr>
      <w:t xml:space="preserve">	第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 / 共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</w:t>
    </w:r>
    <w:r>
      <w:rPr>
        <w:rFonts w:ascii="Arial" w:cs="Arial" w:eastAsia="Microsoft YaHei" w:hAnsi="Arial"/>
        <w:color w:val="5A6B80"/>
        <w:sz w:val="15"/>
        <w:szCs w:val="15"/>
      </w:rPr>
      <w:t xml:space="preserve">	成都高新区足球协会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518E" w:sz="6" w:space="4"/>
      </w:pBdr>
      <w:tabs>
        <w:tab w:val="right" w:pos="8844"/>
      </w:tabs>
      <w:spacing w:after="0"/>
    </w:pPr>
    <w:r>
      <w:drawing>
        <wp:inline distT="0" distB="0" distL="0" distR="0">
          <wp:extent cx="287998" cy="287998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998" cy="28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Microsoft YaHei" w:hAnsi="Arial"/>
        <w:b/>
        <w:bCs/>
        <w:color w:val="0B2545"/>
        <w:sz w:val="17"/>
        <w:szCs w:val="17"/>
      </w:rPr>
      <w:t xml:space="preserve">  熊猫精英足球联赛 · 2026 秋季</w:t>
    </w:r>
    <w:r>
      <w:rPr>
        <w:rFonts w:ascii="Arial" w:cs="Arial" w:eastAsia="Microsoft YaHei" w:hAnsi="Arial"/>
        <w:color w:val="5A6B80"/>
        <w:sz w:val="17"/>
        <w:szCs w:val="17"/>
      </w:rPr>
      <w:t xml:space="preserve">	规则精要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13202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4518E" w:sz="8" w:space="4"/>
      </w:pBdr>
      <w:spacing w:after="160" w:before="360"/>
      <w:outlineLvl w:val="0"/>
    </w:pPr>
    <w:rPr>
      <w:rFonts w:ascii="Arial" w:cs="Arial" w:eastAsia="Microsoft YaHei" w:hAnsi="Arial"/>
      <w:b/>
      <w:bCs/>
      <w:color w:val="04518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Microsoft YaHei" w:hAnsi="Arial"/>
      <w:b/>
      <w:bCs/>
      <w:color w:val="0B2545"/>
      <w:sz w:val="23"/>
      <w:szCs w:val="23"/>
    </w:rPr>
  </w:style>
  <w:style w:type="paragraph" w:styleId="TOC1">
    <w:name w:val="toc 1"/>
    <w:basedOn w:val="Normal"/>
    <w:pPr>
      <w:spacing w:after="40" w:before="120"/>
    </w:pPr>
    <w:rPr>
      <w:rFonts w:ascii="Arial" w:cs="Arial" w:eastAsia="Microsoft YaHei" w:hAnsi="Arial"/>
      <w:b/>
      <w:bCs/>
      <w:color w:val="04518E"/>
      <w:sz w:val="22"/>
      <w:szCs w:val="22"/>
    </w:rPr>
  </w:style>
  <w:style w:type="paragraph" w:styleId="TOC2">
    <w:name w:val="toc 2"/>
    <w:basedOn w:val="Normal"/>
    <w:pPr>
      <w:spacing w:after="20"/>
      <w:ind w:left="420"/>
    </w:pPr>
    <w:rPr>
      <w:rFonts w:ascii="Times New Roman" w:cs="Times New Roman" w:eastAsia="SimSun" w:hAnsi="Times New Roman"/>
      <w:color w:val="13202F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9d1f32ec3822b39bae5a62ccecfdfa62b1b8d48.png"/><Relationship Id="rId10" Type="http://schemas.openxmlformats.org/officeDocument/2006/relationships/image" Target="media/32bf0a3b9fae56c1bfcb6a3db5b9c124087d3b66.png"/><Relationship Id="rId11" Type="http://schemas.openxmlformats.org/officeDocument/2006/relationships/image" Target="media/c1041f8ad9c56865a431b7310b8e78c58cf8936f.png"/><Relationship Id="rId12" Type="http://schemas.openxmlformats.org/officeDocument/2006/relationships/image" Target="media/449901451d2caa77ab35c284c7de8019774f3db2.png"/><Relationship Id="rId13" Type="http://schemas.openxmlformats.org/officeDocument/2006/relationships/image" Target="media/c514bb20e4df1d2bea2c12d443c6544e542bb994.png"/><Relationship Id="rId14" Type="http://schemas.openxmlformats.org/officeDocument/2006/relationships/image" Target="media/92168814681d97a339c7d4b7386e182d2b7ffeb2.png"/><Relationship Id="rId15" Type="http://schemas.openxmlformats.org/officeDocument/2006/relationships/image" Target="media/e9aa5dd6a1ee80668b9dd4abcc4ea26a95d0f0d1.png"/><Relationship Id="rId16" Type="http://schemas.openxmlformats.org/officeDocument/2006/relationships/image" Target="media/1ced0d8f453933df7b76a1daa58c736509e3ff0f.png"/><Relationship Id="rId17" Type="http://schemas.openxmlformats.org/officeDocument/2006/relationships/image" Target="media/108f852501c8e78a201f5058178a21ec8c7ee029.png"/><Relationship Id="rId18" Type="http://schemas.openxmlformats.org/officeDocument/2006/relationships/image" Target="media/19d0424eca2ccd20c949d6f9ce3c14045f284025.png"/><Relationship Id="rId19" Type="http://schemas.openxmlformats.org/officeDocument/2006/relationships/image" Target="media/36a8bf97139f2ce4474285501ab0103010ab8b8d.png"/><Relationship Id="rId20" Type="http://schemas.openxmlformats.org/officeDocument/2006/relationships/image" Target="media/af5f243ef0ea06298025bad0f02f48625d981647.png"/><Relationship Id="rId21" Type="http://schemas.openxmlformats.org/officeDocument/2006/relationships/image" Target="media/d8439248b107074f8e767f0dd447d287eb512f38.png"/><Relationship Id="rId22" Type="http://schemas.openxmlformats.org/officeDocument/2006/relationships/image" Target="media/ed11702e99c2774658887f5a1d084f210abdff5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1adacb3a7a53d993d878becaedbc0122a9dccb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熊猫精英足球联赛（秋季） 规则精要</dc:title>
  <dc:creator>成都高新区足球协会</dc:creator>
  <dc:description>PEL-2026A-LOG v1.0</dc:description>
  <cp:lastModifiedBy>Un-named</cp:lastModifiedBy>
  <cp:revision>1</cp:revision>
  <dcterms:created xsi:type="dcterms:W3CDTF">2026-10-16T13:26:16.380Z</dcterms:created>
  <dcterms:modified xsi:type="dcterms:W3CDTF">2026-10-16T13:26:16.380Z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