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600"/>
        <w:jc w:val="center"/>
      </w:pPr>
      <w:r>
        <w:drawing>
          <wp:inline distT="0" distB="0" distL="0" distR="0">
            <wp:extent cx="2231984" cy="20604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84" cy="20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Microsoft YaHei" w:hAnsi="Arial"/>
          <w:b/>
          <w:bCs/>
          <w:color w:val="0B2545"/>
          <w:sz w:val="36"/>
          <w:szCs w:val="36"/>
        </w:rPr>
        <w:t xml:space="preserve">2026 熊猫少儿足球联赛（秋季）</w:t>
      </w:r>
    </w:p>
    <w:p>
      <w:pPr>
        <w:spacing w:after="80"/>
        <w:jc w:val="center"/>
      </w:pPr>
      <w:r>
        <w:rPr>
          <w:rFonts w:ascii="Arial" w:cs="Arial" w:eastAsia="Microsoft YaHei" w:hAnsi="Arial"/>
          <w:b/>
          <w:bCs/>
          <w:color w:val="04518E"/>
          <w:sz w:val="72"/>
          <w:szCs w:val="72"/>
        </w:rPr>
        <w:t xml:space="preserve">竞 赛 规 程</w:t>
      </w:r>
    </w:p>
    <w:p>
      <w:pPr>
        <w:spacing w:after="900"/>
        <w:jc w:val="center"/>
      </w:pPr>
      <w:r>
        <w:rPr>
          <w:rFonts w:ascii="Arial" w:cs="Arial" w:eastAsia="Microsoft YaHei" w:hAnsi="Arial"/>
          <w:b/>
          <w:bCs/>
          <w:color w:val="5A6B80"/>
          <w:spacing w:val="60"/>
          <w:sz w:val="24"/>
          <w:szCs w:val="24"/>
        </w:rPr>
        <w:t xml:space="preserve">COMPETITION REGULATIONS</w:t>
      </w:r>
    </w:p>
    <w:tbl>
      <w:tblPr>
        <w:tblW w:type="dxa" w:w="7200"/>
        <w:jc w:val="center"/>
        <w:tblBorders>
          <w:top w:val="single" w:color="04518E" w:sz="4"/>
          <w:left w:val="none" w:color="FFFFFF" w:sz="0"/>
          <w:bottom w:val="single" w:color="04518E" w:sz="4"/>
          <w:right w:val="none" w:color="FFFFFF" w:sz="0"/>
          <w:insideH w:val="single" w:color="C9D5E3" w:sz="4"/>
          <w:insideV w:val="none" w:color="FFFFFF" w:sz="0"/>
        </w:tblBorders>
        <w:tblLayout w:type="fixed"/>
      </w:tblPr>
      <w:tblGrid>
        <w:gridCol w:w="1700"/>
        <w:gridCol w:w="5500"/>
      </w:tblGrid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发布单位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成都高新区足球协会　四川新北体育文化传播有限公司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运营管理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熊猫少儿联赛赛区组委会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文件编号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PYL-2026A-REG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版　　本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v1.0（基于 2026 春季竞赛规程修订）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发布日期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2026 年 10 月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5A6B80"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2026 熊猫少儿足球联赛（秋季）全部组别</w:t>
            </w:r>
          </w:p>
        </w:tc>
      </w:tr>
    </w:tbl>
    <w:p>
      <w:pPr>
        <w:spacing w:before="900"/>
        <w:jc w:val="center"/>
        <w:sectPr>
          <w:pgSz w:w="11906" w:h="16838" w:orient="portrait"/>
          <w:pgMar w:top="1531" w:right="1531" w:bottom="1361" w:left="1531" w:header="720" w:footer="620" w:gutter="0"/>
          <w:pgNumType/>
          <w:docGrid w:linePitch="360"/>
        </w:sectPr>
      </w:pPr>
      <w:r>
        <w:rPr>
          <w:rFonts w:ascii="Arial" w:cs="Arial" w:eastAsia="Microsoft YaHei" w:hAnsi="Arial"/>
          <w:b/>
          <w:bCs/>
          <w:color w:val="04518E"/>
          <w:sz w:val="18"/>
          <w:szCs w:val="18"/>
        </w:rPr>
        <w:t xml:space="preserve">为了每个人更好的成长　·　FOR BETTER GROWTH OF EVERYONE</w:t>
      </w:r>
    </w:p>
    <w:p>
      <w:pPr>
        <w:spacing w:after="300"/>
        <w:jc w:val="center"/>
      </w:pPr>
      <w:r>
        <w:rPr>
          <w:rFonts w:ascii="Arial" w:cs="Arial" w:eastAsia="Microsoft YaHei" w:hAnsi="Arial"/>
          <w:b/>
          <w:bCs/>
          <w:color w:val="0B2545"/>
          <w:sz w:val="32"/>
          <w:szCs w:val="32"/>
        </w:rPr>
        <w:t xml:space="preserve">目　　录</w:t>
      </w:r>
    </w:p>
    <w:sdt>
      <w:sdtPr>
        <w:alias w:val="目录"/>
      </w:sdtPr>
      <w:sdtContent>
        <w:p>
          <w:pPr>
            <w:pStyle w:val="TOC1"/>
            <w:tabs>
              <w:tab w:val="right" w:pos="8844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62">
            <w:r>
              <w:t xml:space="preserve">第一章　总则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63">
            <w:r>
              <w:t xml:space="preserve">第一条　赛事名称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64">
            <w:r>
              <w:t xml:space="preserve">第二条　主办与运营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65">
            <w:r>
              <w:t xml:space="preserve">第三条　办赛宗旨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66">
            <w:r>
              <w:t xml:space="preserve">第四条　术语定义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67">
            <w:r>
              <w:t xml:space="preserve">第二章　参赛资格与报名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68">
            <w:r>
              <w:t xml:space="preserve">第五条　比赛组别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69">
            <w:r>
              <w:t xml:space="preserve">第六条　参赛单位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70">
            <w:r>
              <w:t xml:space="preserve">第七条　参赛年龄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71">
            <w:r>
              <w:t xml:space="preserve">第八条　参赛资格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72">
            <w:r>
              <w:t xml:space="preserve">第九条　报名要求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73">
            <w:r>
              <w:t xml:space="preserve">第十条　报名方式与费用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74">
            <w:r>
              <w:t xml:space="preserve">第三章　竞赛安排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75">
            <w:r>
              <w:t xml:space="preserve">第十一条　比赛日期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76">
            <w:r>
              <w:t xml:space="preserve">第十二条　比赛地点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77">
            <w:r>
              <w:t xml:space="preserve">第十三条　比赛赛制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78">
            <w:r>
              <w:t xml:space="preserve">第四章　比赛规则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79">
            <w:r>
              <w:t xml:space="preserve">第十四条　规则依据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80">
            <w:r>
              <w:t xml:space="preserve">第十五条　各组别比赛规格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81">
            <w:r>
              <w:t xml:space="preserve">第十六条　比赛时间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82">
            <w:r>
              <w:t xml:space="preserve">第十七条　上场名单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83">
            <w:r>
              <w:t xml:space="preserve">第十八条　均等上场与位置轮换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84">
            <w:r>
              <w:t xml:space="preserve">第十九条　换人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85">
            <w:r>
              <w:t xml:space="preserve">第二十条　开球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86">
            <w:r>
              <w:t xml:space="preserve">第二十一条　界外球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87">
            <w:r>
              <w:t xml:space="preserve">第二十二条　球门球与退守线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88">
            <w:r>
              <w:t xml:space="preserve">第二十三条　角球</w:t>
            </w:r>
            <w:r>
              <w:tab/>
            </w:r>
            <w:r>
              <w:fldChar w:fldCharType="begin" w:dirty="true"/>
              <w:instrText xml:space="preserve">PAGEREF _Toc88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89">
            <w:r>
              <w:t xml:space="preserve">第二十四条　犯规与任意球</w:t>
            </w:r>
            <w:r>
              <w:tab/>
            </w:r>
            <w:r>
              <w:fldChar w:fldCharType="begin" w:dirty="true"/>
              <w:instrText xml:space="preserve">PAGEREF _Toc89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90">
            <w:r>
              <w:t xml:space="preserve">第二十五条　保持竞争规则</w:t>
            </w:r>
            <w:r>
              <w:tab/>
            </w:r>
            <w:r>
              <w:fldChar w:fldCharType="begin" w:dirty="true"/>
              <w:instrText xml:space="preserve">PAGEREF _Toc90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91">
            <w:r>
              <w:t xml:space="preserve">第二十六条　执裁</w:t>
            </w:r>
            <w:r>
              <w:tab/>
            </w:r>
            <w:r>
              <w:fldChar w:fldCharType="begin" w:dirty="true"/>
              <w:instrText xml:space="preserve">PAGEREF _Toc91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92">
            <w:r>
              <w:t xml:space="preserve">第二十七条　赛场指导规范</w:t>
            </w:r>
            <w:r>
              <w:tab/>
            </w:r>
            <w:r>
              <w:fldChar w:fldCharType="begin" w:dirty="true"/>
              <w:instrText xml:space="preserve">PAGEREF _Toc92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93">
            <w:r>
              <w:t xml:space="preserve">第二十八条　家长与观众</w:t>
            </w:r>
            <w:r>
              <w:tab/>
            </w:r>
            <w:r>
              <w:fldChar w:fldCharType="begin" w:dirty="true"/>
              <w:instrText xml:space="preserve">PAGEREF _Toc93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94">
            <w:r>
              <w:t xml:space="preserve">第二十九条　多球制</w:t>
            </w:r>
            <w:r>
              <w:tab/>
            </w:r>
            <w:r>
              <w:fldChar w:fldCharType="begin" w:dirty="true"/>
              <w:instrText xml:space="preserve">PAGEREF _Toc94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95">
            <w:r>
              <w:t xml:space="preserve">第三十条　比赛装备</w:t>
            </w:r>
            <w:r>
              <w:tab/>
            </w:r>
            <w:r>
              <w:fldChar w:fldCharType="begin" w:dirty="true"/>
              <w:instrText xml:space="preserve">PAGEREF _Toc95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96">
            <w:r>
              <w:t xml:space="preserve">第三十一条　替补席与技术区</w:t>
            </w:r>
            <w:r>
              <w:tab/>
            </w:r>
            <w:r>
              <w:fldChar w:fldCharType="begin" w:dirty="true"/>
              <w:instrText xml:space="preserve">PAGEREF _Toc96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97">
            <w:r>
              <w:t xml:space="preserve">第三十二条　礼仪</w:t>
            </w:r>
            <w:r>
              <w:tab/>
            </w:r>
            <w:r>
              <w:fldChar w:fldCharType="begin" w:dirty="true"/>
              <w:instrText xml:space="preserve">PAGEREF _Toc97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98">
            <w:r>
              <w:t xml:space="preserve">第五章　成绩与奖励</w:t>
            </w:r>
            <w:r>
              <w:tab/>
            </w:r>
            <w:r>
              <w:fldChar w:fldCharType="begin" w:dirty="true"/>
              <w:instrText xml:space="preserve">PAGEREF _Toc98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99">
            <w:r>
              <w:t xml:space="preserve">第三十三条　比赛结果</w:t>
            </w:r>
            <w:r>
              <w:tab/>
            </w:r>
            <w:r>
              <w:fldChar w:fldCharType="begin" w:dirty="true"/>
              <w:instrText xml:space="preserve">PAGEREF _Toc99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00">
            <w:r>
              <w:t xml:space="preserve">第三十四条　奖项设置</w:t>
            </w:r>
            <w:r>
              <w:tab/>
            </w:r>
            <w:r>
              <w:fldChar w:fldCharType="begin" w:dirty="true"/>
              <w:instrText xml:space="preserve">PAGEREF _Toc100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101">
            <w:r>
              <w:t xml:space="preserve">第六章　纪律与处罚</w:t>
            </w:r>
            <w:r>
              <w:tab/>
            </w:r>
            <w:r>
              <w:fldChar w:fldCharType="begin" w:dirty="true"/>
              <w:instrText xml:space="preserve">PAGEREF _Toc101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02">
            <w:r>
              <w:t xml:space="preserve">第三十五条　纪律处罚</w:t>
            </w:r>
            <w:r>
              <w:tab/>
            </w:r>
            <w:r>
              <w:fldChar w:fldCharType="begin" w:dirty="true"/>
              <w:instrText xml:space="preserve">PAGEREF _Toc102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03">
            <w:r>
              <w:t xml:space="preserve">第三十六条　比赛中断与取消</w:t>
            </w:r>
            <w:r>
              <w:tab/>
            </w:r>
            <w:r>
              <w:fldChar w:fldCharType="begin" w:dirty="true"/>
              <w:instrText xml:space="preserve">PAGEREF _Toc103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04">
            <w:r>
              <w:t xml:space="preserve">第三十七条　弃权与退赛</w:t>
            </w:r>
            <w:r>
              <w:tab/>
            </w:r>
            <w:r>
              <w:fldChar w:fldCharType="begin" w:dirty="true"/>
              <w:instrText xml:space="preserve">PAGEREF _Toc104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05">
            <w:r>
              <w:t xml:space="preserve">第三十八条　违规条款</w:t>
            </w:r>
            <w:r>
              <w:tab/>
            </w:r>
            <w:r>
              <w:fldChar w:fldCharType="begin" w:dirty="true"/>
              <w:instrText xml:space="preserve">PAGEREF _Toc105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06">
            <w:r>
              <w:t xml:space="preserve">第三十九条　比赛保证金与罚款</w:t>
            </w:r>
            <w:r>
              <w:tab/>
            </w:r>
            <w:r>
              <w:fldChar w:fldCharType="begin" w:dirty="true"/>
              <w:instrText xml:space="preserve">PAGEREF _Toc106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107">
            <w:r>
              <w:t xml:space="preserve">第七章　安全与儿童保护</w:t>
            </w:r>
            <w:r>
              <w:tab/>
            </w:r>
            <w:r>
              <w:fldChar w:fldCharType="begin" w:dirty="true"/>
              <w:instrText xml:space="preserve">PAGEREF _Toc107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08">
            <w:r>
              <w:t xml:space="preserve">第四十条　医疗与安全</w:t>
            </w:r>
            <w:r>
              <w:tab/>
            </w:r>
            <w:r>
              <w:fldChar w:fldCharType="begin" w:dirty="true"/>
              <w:instrText xml:space="preserve">PAGEREF _Toc108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09">
            <w:r>
              <w:t xml:space="preserve">第四十一条　儿童保护</w:t>
            </w:r>
            <w:r>
              <w:tab/>
            </w:r>
            <w:r>
              <w:fldChar w:fldCharType="begin" w:dirty="true"/>
              <w:instrText xml:space="preserve">PAGEREF _Toc109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110">
            <w:r>
              <w:t xml:space="preserve">第八章　争议与仲裁</w:t>
            </w:r>
            <w:r>
              <w:tab/>
            </w:r>
            <w:r>
              <w:fldChar w:fldCharType="begin" w:dirty="true"/>
              <w:instrText xml:space="preserve">PAGEREF _Toc110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11">
            <w:r>
              <w:t xml:space="preserve">第四十二条　纪律委员会</w:t>
            </w:r>
            <w:r>
              <w:tab/>
            </w:r>
            <w:r>
              <w:fldChar w:fldCharType="begin" w:dirty="true"/>
              <w:instrText xml:space="preserve">PAGEREF _Toc111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12">
            <w:r>
              <w:t xml:space="preserve">第四十三条　申诉与仲裁</w:t>
            </w:r>
            <w:r>
              <w:tab/>
            </w:r>
            <w:r>
              <w:fldChar w:fldCharType="begin" w:dirty="true"/>
              <w:instrText xml:space="preserve">PAGEREF _Toc112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113">
            <w:r>
              <w:t xml:space="preserve">第九章　附则</w:t>
            </w:r>
            <w:r>
              <w:tab/>
            </w:r>
            <w:r>
              <w:fldChar w:fldCharType="begin" w:dirty="true"/>
              <w:instrText xml:space="preserve">PAGEREF _Toc113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14">
            <w:r>
              <w:t xml:space="preserve">第四十四条　遵守规程</w:t>
            </w:r>
            <w:r>
              <w:tab/>
            </w:r>
            <w:r>
              <w:fldChar w:fldCharType="begin" w:dirty="true"/>
              <w:instrText xml:space="preserve">PAGEREF _Toc114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4" w:leader="dot"/>
            </w:tabs>
          </w:pPr>
          <w:hyperlink w:history="1" w:anchor="_Toc115">
            <w:r>
              <w:t xml:space="preserve">第四十五条　解释权与生效</w:t>
            </w:r>
            <w:r>
              <w:tab/>
            </w:r>
            <w:r>
              <w:fldChar w:fldCharType="begin" w:dirty="true"/>
              <w:instrText xml:space="preserve">PAGEREF _Toc115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116">
            <w:r>
              <w:t xml:space="preserve">附件 1　上场时间记录表</w:t>
            </w:r>
            <w:r>
              <w:tab/>
            </w:r>
            <w:r>
              <w:fldChar w:fldCharType="begin" w:dirty="true"/>
              <w:instrText xml:space="preserve">PAGEREF _Toc116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117">
            <w:r>
              <w:t xml:space="preserve">附件 2　比赛场地与功能区示意图</w:t>
            </w:r>
            <w:r>
              <w:tab/>
            </w:r>
            <w:r>
              <w:fldChar w:fldCharType="begin" w:dirty="true"/>
              <w:instrText xml:space="preserve">PAGEREF _Toc117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118">
            <w:r>
              <w:t xml:space="preserve">附件 3　家长、教练员、球员守则</w:t>
            </w:r>
            <w:r>
              <w:tab/>
            </w:r>
            <w:r>
              <w:fldChar w:fldCharType="begin" w:dirty="true"/>
              <w:instrText xml:space="preserve">PAGEREF _Toc118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4" w:leader="dot"/>
            </w:tabs>
          </w:pPr>
          <w:hyperlink w:history="1" w:anchor="_Toc119">
            <w:r>
              <w:t xml:space="preserve">附件 4　国际青少年足球实践参照</w:t>
            </w:r>
            <w:r>
              <w:tab/>
            </w:r>
            <w:r>
              <w:fldChar w:fldCharType="begin" w:dirty="true"/>
              <w:instrText xml:space="preserve">PAGEREF _Toc119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/>
        <w:jc w:val="center"/>
      </w:pPr>
      <w:r>
        <w:rPr>
          <w:rFonts w:ascii="Arial" w:cs="Arial" w:eastAsia="Microsoft YaHei" w:hAnsi="Arial"/>
          <w:b/>
          <w:bCs/>
          <w:color w:val="0B2545"/>
          <w:sz w:val="36"/>
          <w:szCs w:val="36"/>
        </w:rPr>
        <w:t xml:space="preserve">2026 熊猫少儿足球联赛（秋季）</w:t>
      </w:r>
    </w:p>
    <w:p>
      <w:pPr>
        <w:spacing w:after="240"/>
        <w:jc w:val="center"/>
      </w:pPr>
      <w:r>
        <w:rPr>
          <w:rFonts w:ascii="Arial" w:cs="Arial" w:eastAsia="Microsoft YaHei" w:hAnsi="Arial"/>
          <w:b/>
          <w:bCs/>
          <w:color w:val="04518E"/>
          <w:sz w:val="32"/>
          <w:szCs w:val="32"/>
        </w:rPr>
        <w:t xml:space="preserve">竞赛规程</w:t>
      </w:r>
    </w:p>
    <w:p>
      <w:pPr>
        <w:pStyle w:val="Heading1"/>
      </w:pPr>
      <w:bookmarkStart w:name="_Toc62" w:id="62"/>
      <w:r>
        <w:t xml:space="preserve">第一章　总则</w:t>
      </w:r>
      <w:bookmarkEnd w:id="62"/>
    </w:p>
    <w:p>
      <w:pPr>
        <w:pStyle w:val="Heading2"/>
      </w:pPr>
      <w:bookmarkStart w:name="_Toc63" w:id="63"/>
      <w:r>
        <w:t xml:space="preserve">第一条　赛事名称</w:t>
      </w:r>
      <w:bookmarkEnd w:id="63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赛事名称为“2026 熊猫少儿足球联赛（秋季）”（英文名称：Panda Youth League 2026 Autumn，以下简称“熊猫少儿联赛”或“本联赛”）。</w:t>
      </w:r>
    </w:p>
    <w:p>
      <w:pPr>
        <w:pStyle w:val="Heading2"/>
      </w:pPr>
      <w:bookmarkStart w:name="_Toc64" w:id="64"/>
      <w:r>
        <w:t xml:space="preserve">第二条　主办与运营</w:t>
      </w:r>
      <w:bookmarkEnd w:id="64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本联赛由成都高新区足球协会（以下简称“高新足协”）和四川新北体育文化传播有限公司（以下简称“新北体育”）联合主办。</w:t>
      </w:r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新北体育设立赛区组委会（以下简称“组委会”），全面负责赛区比赛的组织、运营与管理。</w:t>
      </w:r>
    </w:p>
    <w:p>
      <w:pPr>
        <w:pStyle w:val="Heading2"/>
      </w:pPr>
      <w:bookmarkStart w:name="_Toc65" w:id="65"/>
      <w:r>
        <w:t xml:space="preserve">第三条　办赛宗旨</w:t>
      </w:r>
      <w:bookmarkEnd w:id="65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本联赛始于 2017 年，以“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为了每个人更好的成长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”为宗旨，坚持以球员成长为中心，坚持“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每个人都是冠军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”：不设冠亚季军、不设积分榜、不公布比赛结果，让每一个孩子都有充足、公平的比赛机会，在快乐中爱上足球。</w:t>
      </w:r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本联赛参照英格兰足总“Future Fit”儿童赛制、德国足协儿童足球改革、日本足球协会キッズ指导理念、荷兰足协小型比赛等国际通行做法，采用小场地、少人数、多触球的比赛形式。</w:t>
      </w:r>
    </w:p>
    <w:p>
      <w:pPr>
        <w:pStyle w:val="Heading2"/>
      </w:pPr>
      <w:bookmarkStart w:name="_Toc66" w:id="66"/>
      <w:r>
        <w:t xml:space="preserve">第四条　术语定义</w:t>
      </w:r>
      <w:bookmarkEnd w:id="66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本规程中下列术语的含义为：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（一）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场地引导员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：由组委会指派或经组委会同意的、在场上执裁并引导儿童比赛的人员，可由参赛队教练员担任；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（二）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比赛监督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：由组委会指派，负责监督比赛组织、规程执行、上场时间核查与安全保障的工作人员；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（三）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保持竞争规则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：比分落后达到规定球数的球队可增加场上球员人数的规则（见第二十五条）；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（四）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运球 / 传球入场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：球出界后，以脚将球传入场内或直接运球进入场内恢复比赛的方式；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（五）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退守线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：本联赛以中线为退守线（见第二十二条）；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（六）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绿牌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：对体现公平竞赛精神的球员予以表彰的牌卡。</w:t>
      </w:r>
    </w:p>
    <w:p>
      <w:pPr>
        <w:pStyle w:val="Heading1"/>
      </w:pPr>
      <w:bookmarkStart w:name="_Toc67" w:id="67"/>
      <w:r>
        <w:t xml:space="preserve">第二章　参赛资格与报名</w:t>
      </w:r>
      <w:bookmarkEnd w:id="67"/>
    </w:p>
    <w:p>
      <w:pPr>
        <w:pStyle w:val="Heading2"/>
      </w:pPr>
      <w:bookmarkStart w:name="_Toc68" w:id="68"/>
      <w:r>
        <w:t xml:space="preserve">第五条　比赛组别</w:t>
      </w:r>
      <w:bookmarkEnd w:id="68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本联赛设三个年龄组别：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U6 组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：三人制（3v3），不设守门员；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U8 组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：五人制（5v5），设守门员；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U10 组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：五人制（5v5），设守门员。</w:t>
      </w:r>
    </w:p>
    <w:p>
      <w:pPr>
        <w:pStyle w:val="Heading2"/>
      </w:pPr>
      <w:bookmarkStart w:name="_Toc69" w:id="69"/>
      <w:r>
        <w:t xml:space="preserve">第六条　参赛单位</w:t>
      </w:r>
      <w:bookmarkEnd w:id="69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学校、学校年级、学校班级、青训俱乐部、小区队伍、好朋友队伍等均可组队报名。同一单位可同时报名多个年龄组，或在同一年龄组报名多支球队。</w:t>
      </w:r>
    </w:p>
    <w:p>
      <w:pPr>
        <w:pStyle w:val="Heading2"/>
      </w:pPr>
      <w:bookmarkStart w:name="_Toc70" w:id="70"/>
      <w:r>
        <w:t xml:space="preserve">第七条　参赛年龄</w:t>
      </w:r>
      <w:bookmarkEnd w:id="70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一、U6 组：2020 年 1 月 1 日及以后出生；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二、U8 组：2018 年 1 月 1 日及以后出生；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三、U10 组：2016 年 1 月 1 日及以后出生；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四、每个组别每队可报名比该年龄组大一岁的女队员，人数不限；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五、考虑入学年龄因素，每队可报名上一年龄段中 9 月 1 日及以后出生的球员：U6 组 1 人、U8 组 2 人、U10 组 3 人；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六、本届比赛实行按年龄与实力分组，并允许混龄组队，不作过于严格的年龄组区分。</w:t>
      </w:r>
    </w:p>
    <w:p>
      <w:pPr>
        <w:pStyle w:val="Heading2"/>
      </w:pPr>
      <w:bookmarkStart w:name="_Toc71" w:id="71"/>
      <w:r>
        <w:t xml:space="preserve">第八条　参赛资格</w:t>
      </w:r>
      <w:bookmarkEnd w:id="71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一、参赛队员须身体健康，并持有居民身份证、护照等有效身份证明；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二、参赛队员须已购买人身意外伤害保险，组委会另为参赛队员免费提供附加人身意外伤害保险；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三、所有参赛人员及随队人员须事先进行实名登记。</w:t>
      </w:r>
    </w:p>
    <w:p>
      <w:pPr>
        <w:pStyle w:val="Heading2"/>
      </w:pPr>
      <w:bookmarkStart w:name="_Toc72" w:id="72"/>
      <w:r>
        <w:t xml:space="preserve">第九条　报名要求</w:t>
      </w:r>
      <w:bookmarkEnd w:id="72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一、参赛队须向组委会提交以下报名资料：</w:t>
      </w:r>
    </w:p>
    <w:p>
      <w:pPr>
        <w:spacing w:after="60" w:before="0" w:line="340"/>
        <w:ind w:left="840" w:hanging="30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1. 参赛报名表（电子版）；</w:t>
      </w:r>
    </w:p>
    <w:p>
      <w:pPr>
        <w:spacing w:after="60" w:before="0" w:line="340"/>
        <w:ind w:left="840" w:hanging="30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2. 个人报名表（含已签署的肖像权使用协议、参赛承诺书的纸质版与扫描件；用于制作比赛手册的参赛队员个人资料电子版；人身意外伤害保险证明电子版或复印件）；</w:t>
      </w:r>
    </w:p>
    <w:p>
      <w:pPr>
        <w:spacing w:after="60" w:before="0" w:line="340"/>
        <w:ind w:left="840" w:hanging="30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3. 球队集体照（须包含全部报名人员）。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二、报名人数：</w:t>
      </w:r>
    </w:p>
    <w:p>
      <w:pPr>
        <w:spacing w:after="60" w:before="0" w:line="340"/>
        <w:ind w:left="840" w:hanging="30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1. 教练组：每队可报名教练员 1 人、领队或翻译 1 人；</w:t>
      </w:r>
    </w:p>
    <w:p>
      <w:pPr>
        <w:spacing w:after="60" w:before="0" w:line="340"/>
        <w:ind w:left="840" w:hanging="30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2. 参赛队员：U6 组建议 5–6 人，最多 6 人；U8 组、U10 组建议 8–10 人，最多 10 人。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三、报名资料一经提交，原则上不得更改。因伤病等特殊情况，可在赛程过半前书面申请补报，经组委会审核同意后生效。</w:t>
      </w:r>
    </w:p>
    <w:p>
      <w:pPr>
        <w:pStyle w:val="Heading2"/>
      </w:pPr>
      <w:bookmarkStart w:name="_Toc73" w:id="73"/>
      <w:r>
        <w:t xml:space="preserve">第十条　报名方式与费用</w:t>
      </w:r>
      <w:bookmarkEnd w:id="73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一、报名方式：各参赛队将报名资料发送至组委会邮箱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PYLCTU@163.com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；组委会联系人：19980720350（杨老师）；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二、报名截止时间、比赛费用（按队按场计）、比赛保证金标准及缴纳方式，以组委会发布的《报名通知》为准。比赛保证金在赛季结束后根据本规程第三十九条的规定结算退还。</w:t>
      </w:r>
    </w:p>
    <w:p>
      <w:pPr>
        <w:pStyle w:val="Heading1"/>
      </w:pPr>
      <w:bookmarkStart w:name="_Toc74" w:id="74"/>
      <w:r>
        <w:t xml:space="preserve">第三章　竞赛安排</w:t>
      </w:r>
      <w:bookmarkEnd w:id="74"/>
    </w:p>
    <w:p>
      <w:pPr>
        <w:pStyle w:val="Heading2"/>
      </w:pPr>
      <w:bookmarkStart w:name="_Toc75" w:id="75"/>
      <w:r>
        <w:t xml:space="preserve">第十一条　比赛日期</w:t>
      </w:r>
      <w:bookmarkEnd w:id="75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2026 年秋季赛季，每周日上午进行。首轮比赛日期及完整赛程以组委会公布的赛程表为准；如遇极端天气，比赛可能顺延。</w:t>
      </w:r>
    </w:p>
    <w:p>
      <w:pPr>
        <w:pStyle w:val="Heading2"/>
      </w:pPr>
      <w:bookmarkStart w:name="_Toc76" w:id="76"/>
      <w:r>
        <w:t xml:space="preserve">第十二条　比赛地点</w:t>
      </w:r>
      <w:bookmarkEnd w:id="76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四川新北足球中心。</w:t>
      </w:r>
    </w:p>
    <w:p>
      <w:pPr>
        <w:pStyle w:val="Heading2"/>
      </w:pPr>
      <w:bookmarkStart w:name="_Toc77" w:id="77"/>
      <w:r>
        <w:t xml:space="preserve">第十三条　比赛赛制</w:t>
      </w:r>
      <w:bookmarkEnd w:id="77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一、各年龄组按实力分组，在组内进行单循环或双循环比赛，具体赛制根据实际报名队伍数量确定；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二、组委会可根据比赛情况在阶段之间调整组别，使每场比赛双方实力尽量接近。</w:t>
      </w:r>
    </w:p>
    <w:p>
      <w:pPr>
        <w:pStyle w:val="Heading1"/>
      </w:pPr>
      <w:bookmarkStart w:name="_Toc78" w:id="78"/>
      <w:r>
        <w:t xml:space="preserve">第四章　比赛规则</w:t>
      </w:r>
      <w:bookmarkEnd w:id="78"/>
    </w:p>
    <w:p>
      <w:pPr>
        <w:pStyle w:val="Heading2"/>
      </w:pPr>
      <w:bookmarkStart w:name="_Toc79" w:id="79"/>
      <w:r>
        <w:t xml:space="preserve">第十四条　规则依据</w:t>
      </w:r>
      <w:bookmarkEnd w:id="79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比赛参照国际足球理事会（IFAB）制定、国际足联（FIFA）发布的最新《足球竞赛规则》及《五人制足球竞赛规则》执行，并按本规程及经组委会通过的《规则精要》作适合儿童的简化与调整。本规程或《规则精要》另有规定的，从其规定。</w:t>
      </w:r>
    </w:p>
    <w:p>
      <w:pPr>
        <w:pStyle w:val="Heading2"/>
      </w:pPr>
      <w:bookmarkStart w:name="_Toc80" w:id="80"/>
      <w:r>
        <w:t xml:space="preserve">第十五条　各组别比赛规格</w:t>
      </w:r>
      <w:bookmarkEnd w:id="80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各组别的场地、球门、用球、时间等规格见下表。场地与球门可根据场地条件作适当调整。</w:t>
      </w:r>
    </w:p>
    <w:tbl>
      <w:tblPr>
        <w:tblW w:type="dxa" w:w="8843"/>
        <w:tblBorders>
          <w:top w:val="single" w:color="04518E" w:sz="4"/>
          <w:left w:val="none" w:color="FFFFFF" w:sz="0"/>
          <w:bottom w:val="single" w:color="04518E" w:sz="4"/>
          <w:right w:val="none" w:color="FFFFFF" w:sz="0"/>
          <w:insideH w:val="single" w:color="C9D5E3" w:sz="4"/>
          <w:insideV w:val="single" w:color="FFFFFF" w:sz="4"/>
        </w:tblBorders>
        <w:tblLayout w:type="fixed"/>
      </w:tblPr>
      <w:tblGrid>
        <w:gridCol w:w="1700"/>
        <w:gridCol w:w="2381"/>
        <w:gridCol w:w="2381"/>
        <w:gridCol w:w="2381"/>
      </w:tblGrid>
      <w:tr>
        <w:trPr>
          <w:tblHeader/>
        </w:trPr>
        <w:tc>
          <w:tcPr>
            <w:tcW w:type="dxa" w:w="17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2381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U6 组</w:t>
            </w:r>
          </w:p>
        </w:tc>
        <w:tc>
          <w:tcPr>
            <w:tcW w:type="dxa" w:w="2381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U8 组</w:t>
            </w:r>
          </w:p>
        </w:tc>
        <w:tc>
          <w:tcPr>
            <w:tcW w:type="dxa" w:w="2381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U10 组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出生日期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2020.1.1 及以后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2018.1.1 及以后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2016.1.1 及以后</w:t>
            </w:r>
          </w:p>
        </w:tc>
      </w:tr>
      <w:tr>
        <w:trPr>
          <w:cantSplit/>
        </w:trPr>
        <w:tc>
          <w:tcPr>
            <w:tcW w:type="dxa" w:w="17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比赛形式</w:t>
            </w:r>
          </w:p>
        </w:tc>
        <w:tc>
          <w:tcPr>
            <w:tcW w:type="dxa" w:w="238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3 人制（3v3）</w:t>
            </w:r>
          </w:p>
        </w:tc>
        <w:tc>
          <w:tcPr>
            <w:tcW w:type="dxa" w:w="238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5 人制（5v5）</w:t>
            </w:r>
          </w:p>
        </w:tc>
        <w:tc>
          <w:tcPr>
            <w:tcW w:type="dxa" w:w="238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5 人制（5v5）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守门员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不设守门员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设守门员（4 + 1），全员轮换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设守门员（4 + 1），全员轮换</w:t>
            </w:r>
          </w:p>
        </w:tc>
      </w:tr>
      <w:tr>
        <w:trPr>
          <w:cantSplit/>
        </w:trPr>
        <w:tc>
          <w:tcPr>
            <w:tcW w:type="dxa" w:w="17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比赛用球</w:t>
            </w:r>
          </w:p>
        </w:tc>
        <w:tc>
          <w:tcPr>
            <w:tcW w:type="dxa" w:w="238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3 号球</w:t>
            </w:r>
          </w:p>
        </w:tc>
        <w:tc>
          <w:tcPr>
            <w:tcW w:type="dxa" w:w="238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3 号球</w:t>
            </w:r>
          </w:p>
        </w:tc>
        <w:tc>
          <w:tcPr>
            <w:tcW w:type="dxa" w:w="238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4 号球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场地（约）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20 m × 15 m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30–37 m × 20–25 m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36–40 m × 20–25 m</w:t>
            </w:r>
          </w:p>
        </w:tc>
      </w:tr>
      <w:tr>
        <w:trPr>
          <w:cantSplit/>
        </w:trPr>
        <w:tc>
          <w:tcPr>
            <w:tcW w:type="dxa" w:w="17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球门（约）</w:t>
            </w:r>
          </w:p>
        </w:tc>
        <w:tc>
          <w:tcPr>
            <w:tcW w:type="dxa" w:w="238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1.2 m × 0.8 m 迷你球门</w:t>
            </w:r>
          </w:p>
        </w:tc>
        <w:tc>
          <w:tcPr>
            <w:tcW w:type="dxa" w:w="238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3 m × 2 m</w:t>
            </w:r>
          </w:p>
        </w:tc>
        <w:tc>
          <w:tcPr>
            <w:tcW w:type="dxa" w:w="238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3 m × 2 m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比赛时间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4 节 × 8 分钟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4 节 × 10 分钟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4 节 × 12 分钟</w:t>
            </w:r>
          </w:p>
        </w:tc>
      </w:tr>
      <w:tr>
        <w:trPr>
          <w:cantSplit/>
        </w:trPr>
        <w:tc>
          <w:tcPr>
            <w:tcW w:type="dxa" w:w="17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节间休息</w:t>
            </w:r>
          </w:p>
        </w:tc>
        <w:tc>
          <w:tcPr>
            <w:tcW w:type="dxa" w:w="238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1′ / 3′ / 1′</w:t>
            </w:r>
          </w:p>
        </w:tc>
        <w:tc>
          <w:tcPr>
            <w:tcW w:type="dxa" w:w="238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1′ / 3′ / 1′</w:t>
            </w:r>
          </w:p>
        </w:tc>
        <w:tc>
          <w:tcPr>
            <w:tcW w:type="dxa" w:w="238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1′ / 3′ / 1′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暂停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无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每队每节 1 次，≤ 1 分钟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每队每节 1 次，≤ 1 分钟</w:t>
            </w:r>
          </w:p>
        </w:tc>
      </w:tr>
      <w:tr>
        <w:trPr>
          <w:cantSplit/>
        </w:trPr>
        <w:tc>
          <w:tcPr>
            <w:tcW w:type="dxa" w:w="17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报名人数</w:t>
            </w:r>
          </w:p>
        </w:tc>
        <w:tc>
          <w:tcPr>
            <w:tcW w:type="dxa" w:w="238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建议 5–6 人，最多 6 人</w:t>
            </w:r>
          </w:p>
        </w:tc>
        <w:tc>
          <w:tcPr>
            <w:tcW w:type="dxa" w:w="238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建议 8–10 人，最多 10 人</w:t>
            </w:r>
          </w:p>
        </w:tc>
        <w:tc>
          <w:tcPr>
            <w:tcW w:type="dxa" w:w="2381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建议 8–10 人，最多 10 人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越位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不判越位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不判越位</w:t>
            </w:r>
          </w:p>
        </w:tc>
        <w:tc>
          <w:tcPr>
            <w:tcW w:type="dxa" w:w="238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不判越位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81" w:id="81"/>
      <w:r>
        <w:t xml:space="preserve">第十六条　比赛时间</w:t>
      </w:r>
      <w:bookmarkEnd w:id="81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一、各参赛队须在比赛开始前 20 分钟到达比赛场地；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二、各组别均分 4 节进行。第一、二节之间休息 1 分钟，第二、三节之间休息 3 分钟，第三、四节之间休息 1 分钟；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三、U8 组、U10 组每队每节可申请暂停 1 次，时间不超过 1 分钟；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四、教练员只能在节间休息及暂停时指导球员。</w:t>
      </w:r>
    </w:p>
    <w:p>
      <w:pPr>
        <w:pStyle w:val="Heading2"/>
      </w:pPr>
      <w:bookmarkStart w:name="_Toc82" w:id="82"/>
      <w:r>
        <w:t xml:space="preserve">第十七条　上场名单</w:t>
      </w:r>
      <w:bookmarkEnd w:id="82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一、每场比赛开始前 10 分钟，各队须向场地引导员提交《上场队员名单》，只有名单内的人员方可进入比赛场地；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二、未报名的队员不得上场比赛。</w:t>
      </w:r>
    </w:p>
    <w:p>
      <w:pPr>
        <w:pStyle w:val="Heading2"/>
      </w:pPr>
      <w:bookmarkStart w:name="_Toc83" w:id="83"/>
      <w:r>
        <w:t xml:space="preserve">第十八条　均等上场与位置轮换</w:t>
      </w:r>
      <w:bookmarkEnd w:id="83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一、本联赛实行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全员均等上场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：每名到场球员的累计上场时间原则上相同，且不少于全场比赛时间的一半；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二、教练员应让每名球员尝试不同位置；U8 组、U10 组鼓励所有队员轮换担任守门员，因身体原因不宜担任的，由教练员合理安排；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三、各队须如实填写《上场时间记录表》（附件 1），赛后交比赛监督核查；未执行的，由纪律委员会给予警告并通报。</w:t>
      </w:r>
    </w:p>
    <w:p>
      <w:pPr>
        <w:pStyle w:val="Heading2"/>
      </w:pPr>
      <w:bookmarkStart w:name="_Toc84" w:id="84"/>
      <w:r>
        <w:t xml:space="preserve">第十九条　换人</w:t>
      </w:r>
      <w:bookmarkEnd w:id="84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一、各组别均实行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滚动换人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：不限换人次数，换下的队员可再次上场，无须暂停比赛；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二、换人须在本队替补席一侧的换人区进行，下场队员离场后与上场队员击掌完成交接；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三、U8 组、U10 组更换守门员须在比赛成死球时进行，并告知场地引导员；场上守门员须穿着组委会提供的守门员背心。</w:t>
      </w:r>
    </w:p>
    <w:p>
      <w:pPr>
        <w:pStyle w:val="Heading2"/>
      </w:pPr>
      <w:bookmarkStart w:name="_Toc85" w:id="85"/>
      <w:r>
        <w:t xml:space="preserve">第二十条　开球</w:t>
      </w:r>
      <w:bookmarkEnd w:id="85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开球（中线球）可向任意方向踢出，但直接射门入门不得分；U6 组可直接运球开球。</w:t>
      </w:r>
    </w:p>
    <w:p>
      <w:pPr>
        <w:pStyle w:val="Heading2"/>
      </w:pPr>
      <w:bookmarkStart w:name="_Toc86" w:id="86"/>
      <w:r>
        <w:t xml:space="preserve">第二十一条　界外球</w:t>
      </w:r>
      <w:bookmarkEnd w:id="86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一、本联赛不掷界外球，球从边线出界后，由对方以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运球或传球入场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恢复比赛；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二、U6 组：防守队员须退出 3 米以外；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三、U8 组、U10 组：防守队员须退出 5 米以外，须在 4 秒内将球踢入或运入场内；直接将球踢入球门的，进球无效。</w:t>
      </w:r>
    </w:p>
    <w:p>
      <w:pPr>
        <w:pStyle w:val="Heading2"/>
      </w:pPr>
      <w:bookmarkStart w:name="_Toc87" w:id="87"/>
      <w:r>
        <w:t xml:space="preserve">第二十二条　球门球与退守线</w:t>
      </w:r>
      <w:bookmarkEnd w:id="87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一、U6 组：球由进攻方踢出底线后，由防守方在本方球门线附近以运球或传球入场，进攻方队员须退到中线以后；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二、U8 组、U10 组：由守门员在本方罚球区内以手抛、滚或脚踢的方式恢复比赛；对方队员须退到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中线（退守线）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以后，直至发球方另一名队员触球或球越过中线后方可越过中线。</w:t>
      </w:r>
    </w:p>
    <w:p>
      <w:pPr>
        <w:pStyle w:val="Heading2"/>
      </w:pPr>
      <w:bookmarkStart w:name="_Toc88" w:id="88"/>
      <w:r>
        <w:t xml:space="preserve">第二十三条　角球</w:t>
      </w:r>
      <w:bookmarkEnd w:id="88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球由防守方踢出底线后，由进攻方在角球区运球或传球入场，防守队员须退出 5 米以外（U6 组为 3 米）。</w:t>
      </w:r>
    </w:p>
    <w:p>
      <w:pPr>
        <w:pStyle w:val="Heading2"/>
      </w:pPr>
      <w:bookmarkStart w:name="_Toc89" w:id="89"/>
      <w:r>
        <w:t xml:space="preserve">第二十四条　犯规与任意球</w:t>
      </w:r>
      <w:bookmarkEnd w:id="89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不得铲球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；故意头球视为犯规；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二、U6 组：所有犯规均由对方踢间接任意球，不设罚球点球，防守队员须退出 3 米以外；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三、U8 组、U10 组：犯规按《五人制足球竞赛规则》判罚直接或间接任意球，防守队员须退出 5 米以外；防守方在本方罚球区内犯规应判直接任意球的，判罚球点球；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四、判罚以教育与引导为主，场地引导员可在死球时简短向球员解释规则。</w:t>
      </w:r>
    </w:p>
    <w:p>
      <w:pPr>
        <w:pStyle w:val="Heading2"/>
      </w:pPr>
      <w:bookmarkStart w:name="_Toc90" w:id="90"/>
      <w:r>
        <w:t xml:space="preserve">第二十五条　保持竞争规则</w:t>
      </w:r>
      <w:bookmarkEnd w:id="90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一、比赛进行中，一队比分落后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3 球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时，可额外增加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1 名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场上队员；落后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4 球及以上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时，可额外增加 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2 名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场上队员；每队最多额外增加 2 人；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二、增人须在比赛成死球时向场地引导员申请，新增队员须在本场《上场队员名单》内；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三、分差回落至触发标准以下时，最后上场的那一名增加队员须在下一次死球时就近下场。</w:t>
      </w:r>
    </w:p>
    <w:p>
      <w:pPr>
        <w:pStyle w:val="Heading2"/>
      </w:pPr>
      <w:bookmarkStart w:name="_Toc91" w:id="91"/>
      <w:r>
        <w:t xml:space="preserve">第二十六条　执裁</w:t>
      </w:r>
      <w:bookmarkEnd w:id="91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一、比赛由组委会安排的场地引导员执裁，或经组委会同意由双方教练员轮流执裁；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二、执裁以保护球员安全、保持比赛连贯、引导球员理解规则为原则；正常的身体对抗不暂停比赛；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三、对危险动作或反复违规的球员，场地引导员可请其到场边“冷静时间” 2 分钟，球队可立即补人；严重违规的，由比赛监督报纪律委员会处理；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四、场地引导员可对体现公平竞赛精神的球员出示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绿牌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予以表彰。</w:t>
      </w:r>
    </w:p>
    <w:p>
      <w:pPr>
        <w:pStyle w:val="Heading2"/>
      </w:pPr>
      <w:bookmarkStart w:name="_Toc92" w:id="92"/>
      <w:r>
        <w:t xml:space="preserve">第二十七条　赛场指导规范</w:t>
      </w:r>
      <w:bookmarkEnd w:id="92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一、教练员、家长及所有随队人员应充分尊重球员的场上自主发挥与独立思考，让球员自主完成比赛判断与临场应变；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二、在比赛中可以：指导替补队员、安排换人、向队员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提问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、为队员加油。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三、在比赛中不可以：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遥控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场上球员——如直接命令传球、射门、向左、加速、变向、向后、带球等剥夺球员自主决策的指令。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四、不得对任何人有打骂、指挥式命令、讽刺、威胁、嘲笑等负面语言行为。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五、技术战术指导在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节间休息、中场休息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进行；场边只做简短的鼓励性示意。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六、保证每一名到场球员的上场时间与位置轮换，如实填写《上场时间记录表》。</w:t>
      </w:r>
    </w:p>
    <w:p>
      <w:pPr>
        <w:pStyle w:val="Heading2"/>
      </w:pPr>
      <w:bookmarkStart w:name="_Toc93" w:id="93"/>
      <w:r>
        <w:t xml:space="preserve">第二十八条　家长与观众</w:t>
      </w:r>
      <w:bookmarkEnd w:id="93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一、家长须停留在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家长观赛区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（与边线保持至少 2 米距离），可以为孩子加油、鼓掌。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二、不得有干扰球员决策的行为：不在场边指挥、命令，不对任何球员打骂、讽刺、威胁、嘲笑。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三、比赛进行中不进入场地为孩子擦汗、喂水、拿书包等（球员受伤等特殊情况除外，须经执裁人员示意）。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四、尊重执裁人员（执裁教练 / 场地引导员）的判罚，不指责球员、教练员、执裁人员和组委会工作人员。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五、赛后多问孩子“今天开心吗？尝试了什么？”，少问“赢了吗？进了几个球？”。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六、违反上述规定的，比赛监督可予以劝导；屡劝不改的，可要求其离开赛区。</w:t>
      </w:r>
    </w:p>
    <w:p>
      <w:pPr>
        <w:pStyle w:val="Heading2"/>
      </w:pPr>
      <w:bookmarkStart w:name="_Toc94" w:id="94"/>
      <w:r>
        <w:t xml:space="preserve">第二十九条　多球制</w:t>
      </w:r>
      <w:bookmarkEnd w:id="94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比赛场边摆放固定比赛用球，球出界后就近取球恢复比赛，减少捡球浪费的时间。除比赛人员外，其他人员不得触碰已摆放好的比赛用球。</w:t>
      </w:r>
    </w:p>
    <w:p>
      <w:pPr>
        <w:pStyle w:val="Heading2"/>
      </w:pPr>
      <w:bookmarkStart w:name="_Toc95" w:id="95"/>
      <w:r>
        <w:t xml:space="preserve">第三十条　比赛装备</w:t>
      </w:r>
      <w:bookmarkEnd w:id="95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一、U8 组、U10 组各参赛队须准备统一的比赛服装一套；U6 组鼓励统一着装，双方颜色相近时由组委会提供对抗背心；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二、比赛队员仅允许穿平底、胶钉、碎钉球鞋；须佩戴护腿板并被长袜完全遮挡；不得佩戴手表、挂饰、首饰等饰物；佩戴的眼镜须为运动眼镜。不符合要求的队员不得上场。</w:t>
      </w:r>
    </w:p>
    <w:p>
      <w:pPr>
        <w:pStyle w:val="Heading2"/>
      </w:pPr>
      <w:bookmarkStart w:name="_Toc96" w:id="96"/>
      <w:r>
        <w:t xml:space="preserve">第三十一条　替补席与技术区</w:t>
      </w:r>
      <w:bookmarkEnd w:id="96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一、面向比赛场地，比赛监督左侧为主队替补席和技术区，右侧为客队替补席和技术区；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二、技术区内每场比赛只能有 1 人进行指导，外籍教练员可另带 1 名翻译；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三、因纪律处罚被停赛的教练员、领队、翻译及参赛队员，不得进入比赛场地，违者所属球队将受到相应纪律处罚。</w:t>
      </w:r>
    </w:p>
    <w:p>
      <w:pPr>
        <w:pStyle w:val="Heading2"/>
      </w:pPr>
      <w:bookmarkStart w:name="_Toc97" w:id="97"/>
      <w:r>
        <w:t xml:space="preserve">第三十二条　礼仪</w:t>
      </w:r>
      <w:bookmarkEnd w:id="97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一、比赛开始前和结束后，双方球队须相互击掌或握手；比赛结束后，双方球队在队长带领下，列队到对方技术区、观众区前集体行礼致谢；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二、观众不得在赛区内大声喧哗、指挥队员，不得谩骂、侮辱、殴打执裁人员、赛区工作人员及对方运动队人员，违者比赛监督可将其驱逐出场；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三、所有人员不得在赛区内吸烟，违者将受到相应的纪律处罚。</w:t>
      </w:r>
    </w:p>
    <w:p>
      <w:pPr>
        <w:pStyle w:val="Heading1"/>
      </w:pPr>
      <w:bookmarkStart w:name="_Toc98" w:id="98"/>
      <w:r>
        <w:t xml:space="preserve">第五章　成绩与奖励</w:t>
      </w:r>
      <w:bookmarkEnd w:id="98"/>
    </w:p>
    <w:p>
      <w:pPr>
        <w:pStyle w:val="Heading2"/>
      </w:pPr>
      <w:bookmarkStart w:name="_Toc99" w:id="99"/>
      <w:r>
        <w:t xml:space="preserve">第三十三条　比赛结果</w:t>
      </w:r>
      <w:bookmarkEnd w:id="99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一、比赛比分由组委会正常记录，仅用于调整组别、使比赛双方实力接近；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二、本联赛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不设冠亚季军、不统计积分、不公布比赛结果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。参赛队、家长及各类媒体在发布赛事信息时，请勿发布比分与排名，鼓励以球员成长、精彩瞬间为主题。</w:t>
      </w:r>
    </w:p>
    <w:p>
      <w:pPr>
        <w:pStyle w:val="Heading2"/>
      </w:pPr>
      <w:bookmarkStart w:name="_Toc100" w:id="100"/>
      <w:r>
        <w:t xml:space="preserve">第三十四条　奖项设置</w:t>
      </w:r>
      <w:bookmarkEnd w:id="100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一、每一名小球员在赛季结束时获得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完赛奖牌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、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完赛证书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及比赛纪念品；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二、“成长之星”：由每队教练推选本队进步较大的 2 名球员；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三、“优秀教练”“优秀执裁”“优秀志愿者”及“公平竞赛奖”（团体，依据绿牌与纪律表现评选）；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四、全部比赛结束后举行闭幕式暨颁奖仪式，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所有参赛队员均上台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，由颁奖嘉宾为每一名小球员颁奖；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五、组委会可根据比赛实际情况增设奖项。</w:t>
      </w:r>
    </w:p>
    <w:p>
      <w:pPr>
        <w:pStyle w:val="Heading1"/>
      </w:pPr>
      <w:bookmarkStart w:name="_Toc101" w:id="101"/>
      <w:r>
        <w:t xml:space="preserve">第六章　纪律与处罚</w:t>
      </w:r>
      <w:bookmarkEnd w:id="101"/>
    </w:p>
    <w:p>
      <w:pPr>
        <w:pStyle w:val="Heading2"/>
      </w:pPr>
      <w:bookmarkStart w:name="_Toc102" w:id="102"/>
      <w:r>
        <w:t xml:space="preserve">第三十五条　纪律处罚</w:t>
      </w:r>
      <w:bookmarkEnd w:id="102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一、本联赛所有组别参照《中国足球协会纪律准则》执行；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二、球员被出示红牌的，本场比赛不得再上场，并自动停赛下一场；未执行完毕的处罚带入下一阶段继续执行。</w:t>
      </w:r>
    </w:p>
    <w:p>
      <w:pPr>
        <w:pStyle w:val="Heading2"/>
      </w:pPr>
      <w:bookmarkStart w:name="_Toc103" w:id="103"/>
      <w:r>
        <w:t xml:space="preserve">第三十六条　比赛中断与取消</w:t>
      </w:r>
      <w:bookmarkEnd w:id="103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一、因天气、场地或其他原因造成比赛中断的，暂停时间不超过 10 分钟，否则应宣布本场比赛中断，组委会可在下一轮安排补足剩余时间；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二、比赛不能准时开始的，推迟时间原则上不超过 30 分钟，否则应宣布本场比赛取消，由组委会决定是否另行安排。</w:t>
      </w:r>
    </w:p>
    <w:p>
      <w:pPr>
        <w:pStyle w:val="Heading2"/>
      </w:pPr>
      <w:bookmarkStart w:name="_Toc104" w:id="104"/>
      <w:r>
        <w:t xml:space="preserve">第三十七条　弃权与退赛</w:t>
      </w:r>
      <w:bookmarkEnd w:id="104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一、弃权：未报名、未通过资格审查或处在停赛期的球员代表某队参加比赛的，该队本场比赛按弃权处理；参赛队在规定开始时间人数不足的，应提前与组委会沟通，尽量保证比赛正常进行；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二、退赛：未经组委会许可且非因不可抗力，参赛队累计三次未按规定时间到场比赛、比赛过程中拒绝继续比赛或比赛结束前擅自离开比赛场地的，经比赛监督报组委会核实，认定为退赛；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三、退赛的处理：取消该队本年度参赛资格；取消该队及其教练员、运动员的评奖资格；不退还比赛费用。</w:t>
      </w:r>
    </w:p>
    <w:p>
      <w:pPr>
        <w:pStyle w:val="Heading2"/>
      </w:pPr>
      <w:bookmarkStart w:name="_Toc105" w:id="105"/>
      <w:r>
        <w:t xml:space="preserve">第三十八条　违规条款</w:t>
      </w:r>
      <w:bookmarkEnd w:id="105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参赛队有下列行为之一的，组委会将取消该队本次比赛的参赛资格，并扣除全部比赛保证金：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一、在报名中提供虚假信息；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二、以未报名球员替换报名球员上场比赛；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三、被组委会认定为退赛；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四、球队中的球员、家长、教练员、领队以恶劣言语谩骂、以肢体击打、投掷物品攻击或以其他方式侮辱对方球员、家长、教练员、领队或执裁人员、组委会工作人员；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五、参赛队在球场上的任何暴力行为。</w:t>
      </w:r>
    </w:p>
    <w:p>
      <w:pPr>
        <w:pStyle w:val="Heading2"/>
      </w:pPr>
      <w:bookmarkStart w:name="_Toc106" w:id="106"/>
      <w:r>
        <w:t xml:space="preserve">第三十九条　比赛保证金与罚款</w:t>
      </w:r>
      <w:bookmarkEnd w:id="106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参赛队有下列行为的，扣除相应比赛保证金或处以罚款：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一、参赛队须在比赛开始前 20 分钟到达比赛场地，因参赛队原因影响比赛正常开始的，处罚款 300 元/次；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二、每张黄牌扣除比赛保证金 20 元，每张红牌扣除比赛保证金 50 元；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三、参赛队相关人员因辱骂、殴打他人等被驱逐出场的，处罚款 500 元/人，并视情节报告有关部门；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四、在赛区内吸烟的，处罚款 200 元/人；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五、比赛保证金余额不足标准金额 80% 的，参赛队须补足后方可参加下一场比赛。</w:t>
      </w:r>
    </w:p>
    <w:p>
      <w:pPr>
        <w:pStyle w:val="Heading1"/>
      </w:pPr>
      <w:bookmarkStart w:name="_Toc107" w:id="107"/>
      <w:r>
        <w:t xml:space="preserve">第七章　安全与儿童保护</w:t>
      </w:r>
      <w:bookmarkEnd w:id="107"/>
    </w:p>
    <w:p>
      <w:pPr>
        <w:pStyle w:val="Heading2"/>
      </w:pPr>
      <w:bookmarkStart w:name="_Toc108" w:id="108"/>
      <w:r>
        <w:t xml:space="preserve">第四十条　医疗与安全</w:t>
      </w:r>
      <w:bookmarkEnd w:id="108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一、组委会在赛场设置医疗点，配备急救用品；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头部伤害“有疑问，就下场”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：球员疑似头部受伤的，须立即停止比赛并离场观察，当日不得再上场，并建议就医；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三、遇雷电天气，须立即停止比赛并疏散至安全区域，最后一次雷声后 30 分钟方可恢复；遇高温天气，可在每节中途增加补水暂停。</w:t>
      </w:r>
    </w:p>
    <w:p>
      <w:pPr>
        <w:pStyle w:val="Heading2"/>
      </w:pPr>
      <w:bookmarkStart w:name="_Toc109" w:id="109"/>
      <w:r>
        <w:t xml:space="preserve">第四十一条　儿童保护</w:t>
      </w:r>
      <w:bookmarkEnd w:id="109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一、所有参赛人员与随队人员不得对儿童实施体罚、辱骂或任何形式的伤害；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二、赛事影像仅在已签署肖像权授权的范围内使用，不公开球员身份证件号码、住址等个人信息；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三、发现儿童受到伤害或处于危险中的，任何人均可直接向组委会报告。</w:t>
      </w:r>
    </w:p>
    <w:p>
      <w:pPr>
        <w:pStyle w:val="Heading1"/>
      </w:pPr>
      <w:bookmarkStart w:name="_Toc110" w:id="110"/>
      <w:r>
        <w:t xml:space="preserve">第八章　争议与仲裁</w:t>
      </w:r>
      <w:bookmarkEnd w:id="110"/>
    </w:p>
    <w:p>
      <w:pPr>
        <w:pStyle w:val="Heading2"/>
      </w:pPr>
      <w:bookmarkStart w:name="_Toc111" w:id="111"/>
      <w:r>
        <w:t xml:space="preserve">第四十二条　纪律委员会</w:t>
      </w:r>
      <w:bookmarkEnd w:id="111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组委会设纪律委员会，负责处理比赛中的违纪事件。</w:t>
      </w:r>
    </w:p>
    <w:p>
      <w:pPr>
        <w:pStyle w:val="Heading2"/>
      </w:pPr>
      <w:bookmarkStart w:name="_Toc112" w:id="112"/>
      <w:r>
        <w:t xml:space="preserve">第四十三条　申诉与仲裁</w:t>
      </w:r>
      <w:bookmarkEnd w:id="112"/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一、联赛中出现的争议，须以书面形式向组委会提出仲裁申请，并缴纳仲裁费 200 元/次；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二、组委会仲裁委员会的裁决为最终裁决；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三、申请仲裁期间，不停止处罚的执行。</w:t>
      </w:r>
    </w:p>
    <w:p>
      <w:pPr>
        <w:pStyle w:val="Heading1"/>
      </w:pPr>
      <w:bookmarkStart w:name="_Toc113" w:id="113"/>
      <w:r>
        <w:t xml:space="preserve">第九章　附则</w:t>
      </w:r>
      <w:bookmarkEnd w:id="113"/>
    </w:p>
    <w:p>
      <w:pPr>
        <w:pStyle w:val="Heading2"/>
      </w:pPr>
      <w:bookmarkStart w:name="_Toc114" w:id="114"/>
      <w:r>
        <w:t xml:space="preserve">第四十四条　遵守规程</w:t>
      </w:r>
      <w:bookmarkEnd w:id="114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所有参赛人员应仔细阅读并遵守本规程。参赛队一经提交报名资料，即视为同意并遵守本规程。</w:t>
      </w:r>
    </w:p>
    <w:p>
      <w:pPr>
        <w:pStyle w:val="Heading2"/>
      </w:pPr>
      <w:bookmarkStart w:name="_Toc115" w:id="115"/>
      <w:r>
        <w:t xml:space="preserve">第四十五条　解释权与生效</w:t>
      </w:r>
      <w:bookmarkEnd w:id="115"/>
    </w:p>
    <w:p>
      <w:pPr>
        <w:spacing w:after="60" w:before="0" w:line="340"/>
        <w:ind w:firstLine="4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本规程由组委会负责解释，未尽事宜由组委会另行通知。本规程自发布之日起施行。</w:t>
      </w:r>
    </w:p>
    <w:p>
      <w:r>
        <w:br w:type="page"/>
      </w:r>
    </w:p>
    <w:p>
      <w:pPr>
        <w:pStyle w:val="Heading1"/>
      </w:pPr>
      <w:bookmarkStart w:name="_Toc116" w:id="116"/>
      <w:r>
        <w:t xml:space="preserve">附件 1　上场时间记录表</w:t>
      </w:r>
      <w:bookmarkEnd w:id="116"/>
    </w:p>
    <w:p>
      <w:pPr>
        <w:spacing w:after="60" w:before="0" w:line="3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本表由各参赛队在每场比赛中如实填写，赛后交比赛监督核查。“上场”栏可填写上场分钟数，或在该节全程上场时打“✓”。守门员栏填写担任守门员的节次。</w:t>
      </w:r>
    </w:p>
    <w:tbl>
      <w:tblPr>
        <w:tblW w:type="dxa" w:w="88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5A6B80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color w:val="13202F"/>
                <w:sz w:val="19"/>
                <w:szCs w:val="19"/>
              </w:rPr>
              <w:t xml:space="preserve">比赛日期：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5A6B80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color w:val="13202F"/>
                <w:sz w:val="19"/>
                <w:szCs w:val="19"/>
              </w:rPr>
              <w:t xml:space="preserve">组别：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5A6B80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color w:val="13202F"/>
                <w:sz w:val="19"/>
                <w:szCs w:val="19"/>
              </w:rPr>
              <w:t xml:space="preserve">本队：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5A6B80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color w:val="13202F"/>
                <w:sz w:val="19"/>
                <w:szCs w:val="19"/>
              </w:rPr>
              <w:t xml:space="preserve">对手：</w:t>
            </w:r>
          </w:p>
        </w:tc>
      </w:tr>
    </w:tbl>
    <w:p>
      <w:pPr>
        <w:spacing w:after="100"/>
      </w:pPr>
    </w:p>
    <w:tbl>
      <w:tblPr>
        <w:tblW w:type="dxa" w:w="8844"/>
        <w:tblBorders>
          <w:top w:val="single" w:color="04518E" w:sz="4"/>
          <w:left w:val="none" w:color="FFFFFF" w:sz="0"/>
          <w:bottom w:val="single" w:color="04518E" w:sz="4"/>
          <w:right w:val="none" w:color="FFFFFF" w:sz="0"/>
          <w:insideH w:val="single" w:color="C9D5E3" w:sz="4"/>
          <w:insideV w:val="single" w:color="FFFFFF" w:sz="4"/>
        </w:tblBorders>
        <w:tblLayout w:type="fixed"/>
      </w:tblPr>
      <w:tblGrid>
        <w:gridCol w:w="800"/>
        <w:gridCol w:w="1500"/>
        <w:gridCol w:w="900"/>
        <w:gridCol w:w="900"/>
        <w:gridCol w:w="900"/>
        <w:gridCol w:w="900"/>
        <w:gridCol w:w="1100"/>
        <w:gridCol w:w="1100"/>
        <w:gridCol w:w="744"/>
      </w:tblGrid>
      <w:tr>
        <w:trPr>
          <w:tblHeader/>
        </w:trPr>
        <w:tc>
          <w:tcPr>
            <w:tcW w:type="dxa" w:w="8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号码</w:t>
            </w:r>
          </w:p>
        </w:tc>
        <w:tc>
          <w:tcPr>
            <w:tcW w:type="dxa" w:w="15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姓名</w:t>
            </w:r>
          </w:p>
        </w:tc>
        <w:tc>
          <w:tcPr>
            <w:tcW w:type="dxa" w:w="9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第 1 节</w:t>
            </w:r>
          </w:p>
        </w:tc>
        <w:tc>
          <w:tcPr>
            <w:tcW w:type="dxa" w:w="9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第 2 节</w:t>
            </w:r>
          </w:p>
        </w:tc>
        <w:tc>
          <w:tcPr>
            <w:tcW w:type="dxa" w:w="9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第 3 节</w:t>
            </w:r>
          </w:p>
        </w:tc>
        <w:tc>
          <w:tcPr>
            <w:tcW w:type="dxa" w:w="9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第 4 节</w:t>
            </w:r>
          </w:p>
        </w:tc>
        <w:tc>
          <w:tcPr>
            <w:tcW w:type="dxa" w:w="11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守门员节次</w:t>
            </w:r>
          </w:p>
        </w:tc>
        <w:tc>
          <w:tcPr>
            <w:tcW w:type="dxa" w:w="11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合计（分钟）</w:t>
            </w:r>
          </w:p>
        </w:tc>
        <w:tc>
          <w:tcPr>
            <w:tcW w:type="dxa" w:w="744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担任位置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9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11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  <w:tc>
          <w:tcPr>
            <w:tcW w:type="dxa" w:w="7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 </w:t>
            </w:r>
          </w:p>
        </w:tc>
      </w:tr>
    </w:tbl>
    <w:p>
      <w:pPr>
        <w:spacing w:before="400"/>
      </w:pPr>
      <w:r>
        <w:rPr>
          <w:rFonts w:ascii="Arial" w:cs="Arial" w:eastAsia="Microsoft YaHei" w:hAnsi="Arial"/>
          <w:color w:val="13202F"/>
          <w:sz w:val="20"/>
          <w:szCs w:val="20"/>
        </w:rPr>
        <w:t xml:space="preserve">教练员签字：________________　　　比赛监督签字：________________</w:t>
      </w:r>
    </w:p>
    <w:p>
      <w:r>
        <w:br w:type="page"/>
      </w:r>
    </w:p>
    <w:p>
      <w:pPr>
        <w:pStyle w:val="Heading1"/>
      </w:pPr>
      <w:bookmarkStart w:name="_Toc117" w:id="117"/>
      <w:r>
        <w:t xml:space="preserve">附件 2　比赛场地与功能区示意图</w:t>
      </w:r>
      <w:bookmarkEnd w:id="117"/>
    </w:p>
    <w:p>
      <w:pPr>
        <w:jc w:val="center"/>
      </w:pPr>
      <w:r>
        <w:drawing>
          <wp:inline distT="0" distB="0" distL="0" distR="0">
            <wp:extent cx="5759958" cy="1518442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58" cy="151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340"/>
        <w:jc w:val="both"/>
      </w:pPr>
      <w:r>
        <w:rPr>
          <w:rFonts w:ascii="Times New Roman" w:cs="Times New Roman" w:eastAsia="SimSun" w:hAnsi="Times New Roman"/>
          <w:color w:val="13202F"/>
          <w:sz w:val="19"/>
          <w:szCs w:val="19"/>
        </w:rPr>
        <w:t xml:space="preserve">说明：场地与球门尺寸为参考值，可根据场地条件调整；各组别均以中线为退守线；每块场地均设换人区、家长观赛区（距边线 ≥ 2 m）与场边多球点位。</w:t>
      </w:r>
    </w:p>
    <w:p>
      <w:r>
        <w:br w:type="page"/>
      </w:r>
    </w:p>
    <w:p>
      <w:pPr>
        <w:pStyle w:val="Heading1"/>
      </w:pPr>
      <w:bookmarkStart w:name="_Toc118" w:id="118"/>
      <w:r>
        <w:t xml:space="preserve">附件 3　家长、教练员、球员守则</w:t>
      </w:r>
      <w:bookmarkEnd w:id="118"/>
    </w:p>
    <w:p>
      <w:pPr>
        <w:spacing w:after="80" w:before="200"/>
      </w:pPr>
      <w:r>
        <w:rPr>
          <w:rFonts w:ascii="Arial" w:cs="Arial" w:eastAsia="Microsoft YaHei" w:hAnsi="Arial"/>
          <w:b/>
          <w:bCs/>
          <w:color w:val="0B2545"/>
          <w:sz w:val="23"/>
          <w:szCs w:val="23"/>
        </w:rPr>
        <w:t xml:space="preserve">家长守则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一、家长须停留在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家长观赛区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（与边线保持至少 2 米距离），可以为孩子加油、鼓掌。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二、不得有干扰球员决策的行为：不在场边指挥、命令，不对任何球员打骂、讽刺、威胁、嘲笑。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三、比赛进行中不进入场地为孩子擦汗、喂水、拿书包等（球员受伤等特殊情况除外，须经执裁人员示意）。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四、尊重执裁人员（执裁教练 / 场地引导员）的判罚，不指责球员、教练员、执裁人员和组委会工作人员。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五、赛后多问孩子“今天开心吗？尝试了什么？”，少问“赢了吗？进了几个球？”。</w:t>
      </w:r>
    </w:p>
    <w:p>
      <w:pPr>
        <w:spacing w:after="80" w:before="200"/>
      </w:pPr>
      <w:r>
        <w:rPr>
          <w:rFonts w:ascii="Arial" w:cs="Arial" w:eastAsia="Microsoft YaHei" w:hAnsi="Arial"/>
          <w:b/>
          <w:bCs/>
          <w:color w:val="0B2545"/>
          <w:sz w:val="23"/>
          <w:szCs w:val="23"/>
        </w:rPr>
        <w:t xml:space="preserve">教练员守则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一、在比赛中可以：指导替补队员、安排换人、向队员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提问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、为队员加油。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二、在比赛中不可以：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遥控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场上球员——如直接命令传球、射门、向左、加速、变向、向后、带球等剥夺球员自主决策的指令。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三、不得对任何人有打骂、指挥式命令、讽刺、威胁、嘲笑等负面语言行为。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四、技术战术指导在</w:t>
      </w:r>
      <w:r>
        <w:rPr>
          <w:rFonts w:ascii="Times New Roman" w:cs="Times New Roman" w:eastAsia="SimSun" w:hAnsi="Times New Roman"/>
          <w:b/>
          <w:bCs/>
          <w:color w:val="0B2545"/>
          <w:sz w:val="22"/>
          <w:szCs w:val="22"/>
        </w:rPr>
        <w:t xml:space="preserve">节间休息、中场休息</w:t>
      </w: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进行；场边只做简短的鼓励性示意。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五、保证每一名到场球员的上场时间与位置轮换，如实填写《上场时间记录表》。</w:t>
      </w:r>
    </w:p>
    <w:p>
      <w:pPr>
        <w:spacing w:after="80" w:before="200"/>
      </w:pPr>
      <w:r>
        <w:rPr>
          <w:rFonts w:ascii="Arial" w:cs="Arial" w:eastAsia="Microsoft YaHei" w:hAnsi="Arial"/>
          <w:b/>
          <w:bCs/>
          <w:color w:val="0B2545"/>
          <w:sz w:val="23"/>
          <w:szCs w:val="23"/>
        </w:rPr>
        <w:t xml:space="preserve">球员守则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一、尊重对手、队友、执裁人员和观众；赛前赛后与对手握手。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二、全力以赴，胜不骄、败不馁；大胆尝试，不怕失误。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三、诚实比赛：球出界、碰手球主动承认；对手摔倒主动扶起。</w:t>
      </w:r>
    </w:p>
    <w:p>
      <w:pPr>
        <w:spacing w:after="60" w:before="0" w:line="340"/>
        <w:ind w:left="480" w:hanging="48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四、服从执裁，有疑问请队长礼貌询问。</w:t>
      </w:r>
    </w:p>
    <w:p>
      <w:r>
        <w:br w:type="page"/>
      </w:r>
    </w:p>
    <w:p>
      <w:pPr>
        <w:pStyle w:val="Heading1"/>
      </w:pPr>
      <w:bookmarkStart w:name="_Toc119" w:id="119"/>
      <w:r>
        <w:t xml:space="preserve">附件 4　国际青少年足球实践参照</w:t>
      </w:r>
      <w:bookmarkEnd w:id="119"/>
    </w:p>
    <w:p>
      <w:pPr>
        <w:spacing w:after="60" w:before="0" w:line="340"/>
        <w:jc w:val="both"/>
      </w:pPr>
      <w:r>
        <w:rPr>
          <w:rFonts w:ascii="Times New Roman" w:cs="Times New Roman" w:eastAsia="SimSun" w:hAnsi="Times New Roman"/>
          <w:color w:val="13202F"/>
          <w:sz w:val="22"/>
          <w:szCs w:val="22"/>
        </w:rPr>
        <w:t xml:space="preserve">本规程在制定过程中参照了以下国际足球组织的青少年（U11 及以下）比赛实践，供参赛队、教练员与家长了解相关规则的来由。</w:t>
      </w:r>
    </w:p>
    <w:tbl>
      <w:tblPr>
        <w:tblW w:type="dxa" w:w="8844"/>
        <w:tblBorders>
          <w:top w:val="single" w:color="04518E" w:sz="4"/>
          <w:left w:val="none" w:color="FFFFFF" w:sz="0"/>
          <w:bottom w:val="single" w:color="04518E" w:sz="4"/>
          <w:right w:val="none" w:color="FFFFFF" w:sz="0"/>
          <w:insideH w:val="single" w:color="C9D5E3" w:sz="4"/>
          <w:insideV w:val="single" w:color="FFFFFF" w:sz="4"/>
        </w:tblBorders>
        <w:tblLayout w:type="fixed"/>
      </w:tblPr>
      <w:tblGrid>
        <w:gridCol w:w="2600"/>
        <w:gridCol w:w="6244"/>
      </w:tblGrid>
      <w:tr>
        <w:trPr>
          <w:tblHeader/>
        </w:trPr>
        <w:tc>
          <w:tcPr>
            <w:tcW w:type="dxa" w:w="2600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参照对象</w:t>
            </w:r>
          </w:p>
        </w:tc>
        <w:tc>
          <w:tcPr>
            <w:tcW w:type="dxa" w:w="6244"/>
            <w:shd w:fill="04518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主要做法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日本足球协会 JFA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U-12 推行 8 人制，场地约 68×50 m、4 号球、自由换人；推广“リーグ戦”联赛文化与“Players First”理念；低龄段（キッズ）节庆式比赛不记录结果与名次。</w:t>
            </w:r>
          </w:p>
        </w:tc>
      </w:tr>
      <w:tr>
        <w:trPr>
          <w:cantSplit/>
        </w:trPr>
        <w:tc>
          <w:tcPr>
            <w:tcW w:type="dxa" w:w="26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英格兰足总 The FA</w:t>
            </w:r>
          </w:p>
        </w:tc>
        <w:tc>
          <w:tcPr>
            <w:tcW w:type="dxa" w:w="62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“Future Fit”赛制：U7 3v3、U8–U9 5v5、U10–U11 7v7；无越位、退守线（retreat line）、滚动换人；建议每名球员上场 ≥50%；U11 及以下不公布比分与积分榜；Respect 行为守则。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西班牙足协及地区足协 RFEF / FFCV / FCF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低龄组采用 Fútbol 5 / 7 / 8，分节比赛并要求全员参赛；安达卢西亚足协首创“绿牌（Tarjeta Verde）”表彰公平竞赛。</w:t>
            </w:r>
          </w:p>
        </w:tc>
      </w:tr>
      <w:tr>
        <w:trPr>
          <w:cantSplit/>
        </w:trPr>
        <w:tc>
          <w:tcPr>
            <w:tcW w:type="dxa" w:w="26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德国足协 DFB</w:t>
            </w:r>
          </w:p>
        </w:tc>
        <w:tc>
          <w:tcPr>
            <w:tcW w:type="dxa" w:w="62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2024/25 起全国推行儿童足球新赛制：2v2–3v3（G 级）到 5v5–7v7（E 级），小场多球门、轮换上场，低龄段取消冠军联赛。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荷兰足协 KNVB / 美国足协 / 澳大利亚 MiniRoos</w:t>
            </w:r>
          </w:p>
        </w:tc>
        <w:tc>
          <w:tcPr>
            <w:tcW w:type="dxa" w:w="62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6v6 场边引导员、不公布结果；build-out line（退守线）；MiniRoos 全年龄段不记比分、不设积分榜。</w:t>
            </w:r>
          </w:p>
        </w:tc>
      </w:tr>
      <w:tr>
        <w:trPr>
          <w:cantSplit/>
        </w:trPr>
        <w:tc>
          <w:tcPr>
            <w:tcW w:type="dxa" w:w="2600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Microsoft YaHei" w:hAnsi="Arial"/>
                <w:b/>
                <w:bCs/>
                <w:color w:val="13202F"/>
                <w:sz w:val="19"/>
                <w:szCs w:val="19"/>
              </w:rPr>
              <w:t xml:space="preserve">国际足球理事会 IFAB</w:t>
            </w:r>
          </w:p>
        </w:tc>
        <w:tc>
          <w:tcPr>
            <w:tcW w:type="dxa" w:w="6244"/>
            <w:shd w:fill="F5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13202F"/>
                <w:sz w:val="19"/>
                <w:szCs w:val="19"/>
              </w:rPr>
              <w:t xml:space="preserve">《足球竞赛规则》允许青少年与草根足球使用“暂时罚离（sin bin）”，时长约为比赛时间的 10%–15%。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531" w:bottom="1361" w:left="1531" w:header="720" w:footer="6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422"/>
        <w:tab w:val="right" w:pos="8844"/>
      </w:tabs>
    </w:pPr>
    <w:r>
      <w:rPr>
        <w:rFonts w:ascii="Arial" w:cs="Arial" w:eastAsia="Microsoft YaHei" w:hAnsi="Arial"/>
        <w:color w:val="5A6B80"/>
        <w:sz w:val="15"/>
        <w:szCs w:val="15"/>
      </w:rPr>
      <w:t xml:space="preserve">PYL-2026A-REG · v1.0</w:t>
    </w:r>
    <w:r>
      <w:rPr>
        <w:rFonts w:ascii="Arial" w:cs="Arial" w:eastAsia="Microsoft YaHei" w:hAnsi="Arial"/>
        <w:color w:val="5A6B80"/>
        <w:sz w:val="15"/>
        <w:szCs w:val="15"/>
      </w:rPr>
      <w:t xml:space="preserve">	第 </w:t>
    </w:r>
    <w:r>
      <w:rPr>
        <w:rFonts w:ascii="Arial" w:cs="Arial" w:eastAsia="Microsoft YaHei" w:hAnsi="Arial"/>
        <w:color w:val="5A6B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5A6B80"/>
        <w:sz w:val="15"/>
        <w:szCs w:val="15"/>
      </w:rPr>
      <w:t xml:space="preserve"> 页 / 共 </w:t>
    </w:r>
    <w:r>
      <w:rPr>
        <w:rFonts w:ascii="Arial" w:cs="Arial" w:eastAsia="Microsoft YaHei" w:hAnsi="Arial"/>
        <w:color w:val="5A6B80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Microsoft YaHei" w:hAnsi="Arial"/>
        <w:color w:val="5A6B80"/>
        <w:sz w:val="15"/>
        <w:szCs w:val="15"/>
      </w:rPr>
      <w:t xml:space="preserve"> 页</w:t>
    </w:r>
    <w:r>
      <w:rPr>
        <w:rFonts w:ascii="Arial" w:cs="Arial" w:eastAsia="Microsoft YaHei" w:hAnsi="Arial"/>
        <w:color w:val="5A6B80"/>
        <w:sz w:val="15"/>
        <w:szCs w:val="15"/>
      </w:rPr>
      <w:t xml:space="preserve">	成都高新区足球协会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4518E" w:sz="6" w:space="4"/>
      </w:pBdr>
      <w:tabs>
        <w:tab w:val="right" w:pos="8844"/>
      </w:tabs>
      <w:spacing w:after="0"/>
    </w:pPr>
    <w:r>
      <w:drawing>
        <wp:inline distT="0" distB="0" distL="0" distR="0">
          <wp:extent cx="287998" cy="287998"/>
          <wp:effectExtent t="0" r="0" b="0" l="0"/>
          <wp:docPr id="2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998" cy="287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Microsoft YaHei" w:hAnsi="Arial"/>
        <w:b/>
        <w:bCs/>
        <w:color w:val="0B2545"/>
        <w:sz w:val="17"/>
        <w:szCs w:val="17"/>
      </w:rPr>
      <w:t xml:space="preserve">  熊猫少儿足球联赛 · 2026 秋季</w:t>
    </w:r>
    <w:r>
      <w:rPr>
        <w:rFonts w:ascii="Arial" w:cs="Arial" w:eastAsia="Microsoft YaHei" w:hAnsi="Arial"/>
        <w:color w:val="5A6B80"/>
        <w:sz w:val="17"/>
        <w:szCs w:val="17"/>
      </w:rPr>
      <w:t xml:space="preserve">	竞赛规程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color w:val="13202F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4518E" w:sz="8" w:space="4"/>
      </w:pBdr>
      <w:spacing w:after="160" w:before="360"/>
      <w:outlineLvl w:val="0"/>
    </w:pPr>
    <w:rPr>
      <w:rFonts w:ascii="Arial" w:cs="Arial" w:eastAsia="Microsoft YaHei" w:hAnsi="Arial"/>
      <w:b/>
      <w:bCs/>
      <w:color w:val="04518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Arial" w:cs="Arial" w:eastAsia="Microsoft YaHei" w:hAnsi="Arial"/>
      <w:b/>
      <w:bCs/>
      <w:color w:val="0B2545"/>
      <w:sz w:val="23"/>
      <w:szCs w:val="23"/>
    </w:rPr>
  </w:style>
  <w:style w:type="paragraph" w:styleId="TOC1">
    <w:name w:val="toc 1"/>
    <w:basedOn w:val="Normal"/>
    <w:pPr>
      <w:spacing w:after="40" w:before="120"/>
    </w:pPr>
    <w:rPr>
      <w:rFonts w:ascii="Arial" w:cs="Arial" w:eastAsia="Microsoft YaHei" w:hAnsi="Arial"/>
      <w:b/>
      <w:bCs/>
      <w:color w:val="04518E"/>
      <w:sz w:val="22"/>
      <w:szCs w:val="22"/>
    </w:rPr>
  </w:style>
  <w:style w:type="paragraph" w:styleId="TOC2">
    <w:name w:val="toc 2"/>
    <w:basedOn w:val="Normal"/>
    <w:pPr>
      <w:spacing w:after="20"/>
      <w:ind w:left="420"/>
    </w:pPr>
    <w:rPr>
      <w:rFonts w:ascii="Times New Roman" w:cs="Times New Roman" w:eastAsia="SimSun" w:hAnsi="Times New Roman"/>
      <w:color w:val="13202F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9214369ba1b00d6235257b8ccfcf83c6e9f9a0e.png"/><Relationship Id="rId10" Type="http://schemas.openxmlformats.org/officeDocument/2006/relationships/image" Target="media/0f8158463ebca3af4229b867bcbc79912430f0c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7a7e4e04cc9c68f7f7e7669af28a042c3d668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熊猫少儿足球联赛（秋季） 竞赛规程</dc:title>
  <dc:creator>成都高新区足球协会</dc:creator>
  <dc:description>PYL-2026A-REG v1.0</dc:description>
  <cp:lastModifiedBy>Un-named</cp:lastModifiedBy>
  <cp:revision>1</cp:revision>
  <dcterms:created xsi:type="dcterms:W3CDTF">2026-10-16T13:26:16.485Z</dcterms:created>
  <dcterms:modified xsi:type="dcterms:W3CDTF">2026-10-16T13:26:16.485Z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