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3311976" cy="1030852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976" cy="10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Microsoft YaHei" w:hAnsi="Arial"/>
          <w:b/>
          <w:bCs/>
          <w:color w:val="04518E"/>
          <w:sz w:val="52"/>
          <w:szCs w:val="52"/>
        </w:rPr>
        <w:t xml:space="preserve">规则精要</w:t>
      </w:r>
      <w:r>
        <w:rPr>
          <w:rFonts w:ascii="Arial" w:cs="Arial" w:eastAsia="Microsoft YaHei" w:hAnsi="Arial"/>
          <w:b/>
          <w:bCs/>
          <w:color w:val="0B2545"/>
          <w:sz w:val="32"/>
          <w:szCs w:val="32"/>
        </w:rPr>
        <w:t xml:space="preserve">　比赛守则</w:t>
      </w:r>
    </w:p>
    <w:p>
      <w:pPr>
        <w:spacing w:after="240"/>
      </w:pPr>
      <w:r>
        <w:rPr>
          <w:rFonts w:ascii="Arial" w:cs="Arial" w:eastAsia="Microsoft YaHei" w:hAnsi="Arial"/>
          <w:b/>
          <w:bCs/>
          <w:color w:val="5A6B80"/>
          <w:spacing w:val="30"/>
          <w:sz w:val="18"/>
          <w:szCs w:val="18"/>
        </w:rPr>
        <w:t xml:space="preserve">LAWS OF THE GAME · QUICK GUIDE FOR COACHES &amp; PARENTS</w:t>
      </w:r>
    </w:p>
    <w:tbl>
      <w:tblPr>
        <w:tblW w:type="dxa" w:w="88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44"/>
      </w:tblGrid>
      <w:tr>
        <w:tc>
          <w:tcPr>
            <w:tcW w:type="dxa" w:w="8844"/>
            <w:shd w:fill="E6EEF6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60" w:line="32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亲爱的家长和教练：</w:t>
            </w:r>
          </w:p>
          <w:p>
            <w:pPr>
              <w:spacing w:after="60" w:line="320"/>
              <w:ind w:firstLine="40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熊猫少儿联赛的办赛理念是——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20"/>
                <w:szCs w:val="20"/>
              </w:rPr>
              <w:t xml:space="preserve">为了每个人更好的成长</w:t>
            </w: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。希望各位教练及家长更多地关注孩子们长期的成长和发展，而不仅仅是眼前一场比赛的输赢，或者某一届比赛的名次。</w:t>
            </w:r>
          </w:p>
          <w:p>
            <w:pPr>
              <w:spacing w:after="60" w:line="320"/>
              <w:ind w:firstLine="40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比赛不仅是检验训练成果、表现自我的方式，更是孩子们锻炼和成长的方式。希望我们可以保证每一个孩子有足够且公平的上场时间，让孩子们作出属于自己的决策，更自由地面对球场上的每一次挑战。也许孩子们会失误，也许在不断的尝试中没有获得很好的结果，但这个时候，他们更需要我们的支持和鼓励，让他们鼓起勇气，敢于再一次尝试。</w:t>
            </w:r>
          </w:p>
          <w:p>
            <w:pPr>
              <w:spacing w:after="60" w:line="320"/>
              <w:ind w:firstLine="400"/>
              <w:jc w:val="both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还有一个重点，就是“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20"/>
                <w:szCs w:val="20"/>
              </w:rPr>
              <w:t xml:space="preserve">尊重</w:t>
            </w: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”和“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20"/>
                <w:szCs w:val="20"/>
              </w:rPr>
              <w:t xml:space="preserve">正能量</w:t>
            </w: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”：尊重执裁的决定，尊重孩子们的决定，尊重对方的教练及家长，不通过指令遥控小球员，始终给他们鼓励。希望无论场上场下，所有的孩子以及我们每个人，都能共同成长，体会到足球带来的快乐。</w:t>
            </w:r>
          </w:p>
        </w:tc>
      </w:tr>
    </w:tbl>
    <w:p>
      <w:pPr>
        <w:pStyle w:val="Heading1"/>
      </w:pPr>
      <w:r>
        <w:t xml:space="preserve">一、三个组别一览</w:t>
      </w: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single" w:color="FFFFFF" w:sz="4"/>
        </w:tblBorders>
        <w:tblLayout w:type="fixed"/>
      </w:tblPr>
      <w:tblGrid>
        <w:gridCol w:w="1600"/>
        <w:gridCol w:w="2414"/>
        <w:gridCol w:w="2414"/>
        <w:gridCol w:w="2416"/>
      </w:tblGrid>
      <w:tr>
        <w:trPr>
          <w:tblHeader/>
        </w:trPr>
        <w:tc>
          <w:tcPr>
            <w:tcW w:type="dxa" w:w="16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414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U6 组</w:t>
            </w:r>
          </w:p>
        </w:tc>
        <w:tc>
          <w:tcPr>
            <w:tcW w:type="dxa" w:w="2414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U8 组</w:t>
            </w:r>
          </w:p>
        </w:tc>
        <w:tc>
          <w:tcPr>
            <w:tcW w:type="dxa" w:w="2416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U10 组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出生日期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2020.1.1 及以后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2018.1.1 及以后</w:t>
            </w:r>
          </w:p>
        </w:tc>
        <w:tc>
          <w:tcPr>
            <w:tcW w:type="dxa" w:w="24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2016.1.1 及以后</w:t>
            </w:r>
          </w:p>
        </w:tc>
      </w:tr>
      <w:tr>
        <w:trPr>
          <w:cantSplit/>
        </w:trPr>
        <w:tc>
          <w:tcPr>
            <w:tcW w:type="dxa" w:w="1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比赛形式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人制（3v3）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5 人制（5v5）</w:t>
            </w:r>
          </w:p>
        </w:tc>
        <w:tc>
          <w:tcPr>
            <w:tcW w:type="dxa" w:w="2416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5 人制（5v5）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守门员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不设守门员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设守门员（4 + 1），全员轮换</w:t>
            </w:r>
          </w:p>
        </w:tc>
        <w:tc>
          <w:tcPr>
            <w:tcW w:type="dxa" w:w="24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设守门员（4 + 1），全员轮换</w:t>
            </w:r>
          </w:p>
        </w:tc>
      </w:tr>
      <w:tr>
        <w:trPr>
          <w:cantSplit/>
        </w:trPr>
        <w:tc>
          <w:tcPr>
            <w:tcW w:type="dxa" w:w="1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比赛用球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号球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号球</w:t>
            </w:r>
          </w:p>
        </w:tc>
        <w:tc>
          <w:tcPr>
            <w:tcW w:type="dxa" w:w="2416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号球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场地（约）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 m × 15 m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30–37 m × 20–25 m</w:t>
            </w:r>
          </w:p>
        </w:tc>
        <w:tc>
          <w:tcPr>
            <w:tcW w:type="dxa" w:w="24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36–40 m × 20–25 m</w:t>
            </w:r>
          </w:p>
        </w:tc>
      </w:tr>
      <w:tr>
        <w:trPr>
          <w:cantSplit/>
        </w:trPr>
        <w:tc>
          <w:tcPr>
            <w:tcW w:type="dxa" w:w="1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球门（约）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1.2 m × 0.8 m 迷你球门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m × 2 m</w:t>
            </w:r>
          </w:p>
        </w:tc>
        <w:tc>
          <w:tcPr>
            <w:tcW w:type="dxa" w:w="2416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m × 2 m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比赛时间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节 × 8 分钟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节 × 10 分钟</w:t>
            </w:r>
          </w:p>
        </w:tc>
        <w:tc>
          <w:tcPr>
            <w:tcW w:type="dxa" w:w="24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节 × 12 分钟</w:t>
            </w:r>
          </w:p>
        </w:tc>
      </w:tr>
      <w:tr>
        <w:trPr>
          <w:cantSplit/>
        </w:trPr>
        <w:tc>
          <w:tcPr>
            <w:tcW w:type="dxa" w:w="1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节间休息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1′ / 3′ / 1′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1′ / 3′ / 1′</w:t>
            </w:r>
          </w:p>
        </w:tc>
        <w:tc>
          <w:tcPr>
            <w:tcW w:type="dxa" w:w="2416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1′ / 3′ / 1′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暂停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无</w:t>
            </w:r>
          </w:p>
        </w:tc>
        <w:tc>
          <w:tcPr>
            <w:tcW w:type="dxa" w:w="24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每队每节 1 次，≤ 1 分钟</w:t>
            </w:r>
          </w:p>
        </w:tc>
        <w:tc>
          <w:tcPr>
            <w:tcW w:type="dxa" w:w="24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每队每节 1 次，≤ 1 分钟</w:t>
            </w:r>
          </w:p>
        </w:tc>
      </w:tr>
      <w:tr>
        <w:trPr>
          <w:cantSplit/>
        </w:trPr>
        <w:tc>
          <w:tcPr>
            <w:tcW w:type="dxa" w:w="1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越位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不判越位</w:t>
            </w:r>
          </w:p>
        </w:tc>
        <w:tc>
          <w:tcPr>
            <w:tcW w:type="dxa" w:w="241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不判越位</w:t>
            </w:r>
          </w:p>
        </w:tc>
        <w:tc>
          <w:tcPr>
            <w:tcW w:type="dxa" w:w="2416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不判越位</w:t>
            </w:r>
          </w:p>
        </w:tc>
      </w:tr>
    </w:tbl>
    <w:p>
      <w:pPr>
        <w:pStyle w:val="Heading1"/>
      </w:pPr>
      <w:r>
        <w:t xml:space="preserve">二、各组别规则</w:t>
      </w:r>
    </w:p>
    <w:tbl>
      <w:tblPr>
        <w:tblW w:type="dxa" w:w="8844"/>
        <w:tblBorders>
          <w:top w:val="none" w:color="FFFFFF" w:sz="0"/>
          <w:left w:val="none" w:color="FFFFFF" w:sz="0"/>
          <w:bottom w:val="single" w:color="C9D5E3" w:sz="4"/>
          <w:right w:val="none" w:color="FFFFFF" w:sz="0"/>
          <w:insideH w:val="none" w:color="FFFFFF" w:sz="0"/>
          <w:insideV w:val="single" w:color="FFFFFF" w:sz="24"/>
        </w:tblBorders>
        <w:tblLayout w:type="fixed"/>
      </w:tblPr>
      <w:tblGrid>
        <w:gridCol w:w="2948"/>
        <w:gridCol w:w="2948"/>
        <w:gridCol w:w="2948"/>
      </w:tblGrid>
      <w:tr>
        <w:tc>
          <w:tcPr>
            <w:tcW w:type="dxa" w:w="2948"/>
            <w:shd w:fill="FFC72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6"/>
                <w:szCs w:val="26"/>
              </w:rPr>
              <w:t xml:space="preserve">U6 组</w:t>
            </w:r>
          </w:p>
          <w:p>
            <w:r>
              <w:rPr>
                <w:rFonts w:ascii="Arial" w:cs="Arial" w:eastAsia="Microsoft YaHei" w:hAnsi="Arial"/>
                <w:color w:val="0B2545"/>
                <w:sz w:val="17"/>
                <w:szCs w:val="17"/>
              </w:rPr>
              <w:t xml:space="preserve">3v3 · 无守门员 · 3 号球</w:t>
            </w:r>
          </w:p>
        </w:tc>
        <w:tc>
          <w:tcPr>
            <w:tcW w:type="dxa" w:w="2948"/>
            <w:shd w:fill="2FB45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6"/>
                <w:szCs w:val="26"/>
              </w:rPr>
              <w:t xml:space="preserve">U8 组</w:t>
            </w:r>
          </w:p>
          <w:p>
            <w:r>
              <w:rPr>
                <w:rFonts w:ascii="Arial" w:cs="Arial" w:eastAsia="Microsoft YaHei" w:hAnsi="Arial"/>
                <w:color w:val="FFFFFF"/>
                <w:sz w:val="17"/>
                <w:szCs w:val="17"/>
              </w:rPr>
              <w:t xml:space="preserve">5v5 · 设守门员（全员轮换）· 3 号球</w:t>
            </w:r>
          </w:p>
        </w:tc>
        <w:tc>
          <w:tcPr>
            <w:tcW w:type="dxa" w:w="2948"/>
            <w:shd w:fill="1E9BD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6"/>
                <w:szCs w:val="26"/>
              </w:rPr>
              <w:t xml:space="preserve">U10 组</w:t>
            </w:r>
          </w:p>
          <w:p>
            <w:r>
              <w:rPr>
                <w:rFonts w:ascii="Arial" w:cs="Arial" w:eastAsia="Microsoft YaHei" w:hAnsi="Arial"/>
                <w:color w:val="FFFFFF"/>
                <w:sz w:val="17"/>
                <w:szCs w:val="17"/>
              </w:rPr>
              <w:t xml:space="preserve">5v5 · 设守门员（全员轮换）· 4 号球</w:t>
            </w:r>
          </w:p>
        </w:tc>
      </w:tr>
      <w:tr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4 节 × 8 分钟，所有到场球员上场时间基本相同；教练员只能在休息时指导。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界外球：运球或传球入场，防守队员退出 3 米。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底线球：由防守方在本方球门线附近运球或传球入场，对方退到中线以后。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犯规罚间接任意球（退 3 米），不设点球；开球可直接运球。</w:t>
            </w:r>
          </w:p>
        </w:tc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4 节 × 10 分钟，所有到场球员上场时间基本相同；每队每节可暂停 1 次。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界外球：踢球或运球入场，对方退 5 米，4 秒内发出；直接踢进不算得分。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球门球：守门员在罚球区内手抛、滚或脚踢发出，对方退到中线以后，直至本方另一名队员触球或球过中线。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角球：运球或传球入场，防守队员退 5 米。</w:t>
            </w:r>
          </w:p>
        </w:tc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4 节 × 12 分钟，所有到场球员上场时间基本相同；每队每节可暂停 1 次。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界外球：踢球或运球入场，对方退 5 米，4 秒内发出；直接踢进不算得分。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球门球：守门员在罚球区内手抛、滚或脚踢发出，对方退到中线以后，直至本方另一名队员触球或球过中线。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▪ 犯规按五人制规则判罚，罚球区内直接任意球犯规判点球。</w:t>
            </w:r>
          </w:p>
        </w:tc>
      </w:tr>
    </w:tbl>
    <w:p>
      <w:pPr>
        <w:pStyle w:val="Heading1"/>
      </w:pPr>
      <w:r>
        <w:t xml:space="preserve">三、通用规则</w:t>
      </w: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FFFFFF" w:sz="12"/>
          <w:insideV w:val="none" w:color="FFFFFF" w:sz="0"/>
        </w:tblBorders>
        <w:tblLayout w:type="fixed"/>
      </w:tblPr>
      <w:tblGrid>
        <w:gridCol w:w="700"/>
        <w:gridCol w:w="1900"/>
        <w:gridCol w:w="6244"/>
      </w:tblGrid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保持竞争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落后 3 球多上 1 人，落后 4 球多上 2 人，最多多上 2 人；分差回落，最后上场的增加队员就近下场。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全员均等上场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每名到场球员上场时间基本相同、不少于全场一半；尝试不同位置。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滚动换人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不限次数，不用停表，在换人区击掌上下。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开球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中线球可向任意方向踢出，但直接射门不算得分；3 人制可直接运球。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不铲球 · 不头球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保护孩子：不能铲球；故意头球视为犯规。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不判越位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所有组别均不判越位，鼓励孩子大胆进攻。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绿牌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诚实、友善、尊重对手的行为获得绿牌表彰。</w:t>
            </w:r>
          </w:p>
        </w:tc>
      </w:tr>
      <w:tr>
        <w:trPr>
          <w:cantSplit/>
        </w:trPr>
        <w:tc>
          <w:tcPr>
            <w:tcW w:type="dxa" w:w="700"/>
            <w:shd w:fill="04518E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1998" cy="251998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" cy="25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0B2545"/>
                <w:sz w:val="21"/>
                <w:szCs w:val="21"/>
              </w:rPr>
              <w:t xml:space="preserve">每个人都是冠军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20"/>
                <w:szCs w:val="20"/>
              </w:rPr>
              <w:t xml:space="preserve">不设冠亚季军、不统计积分、不公布赛果；每名小球员都获得完赛奖牌与证书。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5399961" cy="142354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61" cy="14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四、赛场守则</w:t>
      </w:r>
    </w:p>
    <w:tbl>
      <w:tblPr>
        <w:tblW w:type="dxa" w:w="8844"/>
        <w:tblBorders>
          <w:top w:val="none" w:color="FFFFFF" w:sz="0"/>
          <w:left w:val="none" w:color="FFFFFF" w:sz="0"/>
          <w:bottom w:val="single" w:color="C9D5E3" w:sz="4"/>
          <w:right w:val="none" w:color="FFFFFF" w:sz="0"/>
          <w:insideH w:val="none" w:color="FFFFFF" w:sz="0"/>
          <w:insideV w:val="single" w:color="FFFFFF" w:sz="24"/>
        </w:tblBorders>
        <w:tblLayout w:type="fixed"/>
      </w:tblPr>
      <w:tblGrid>
        <w:gridCol w:w="2948"/>
        <w:gridCol w:w="2948"/>
        <w:gridCol w:w="2948"/>
      </w:tblGrid>
      <w:tr>
        <w:tc>
          <w:tcPr>
            <w:tcW w:type="dxa" w:w="2948"/>
            <w:shd w:fill="2FB45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家长守则</w:t>
            </w:r>
          </w:p>
        </w:tc>
        <w:tc>
          <w:tcPr>
            <w:tcW w:type="dxa" w:w="2948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教练员守则</w:t>
            </w:r>
          </w:p>
        </w:tc>
        <w:tc>
          <w:tcPr>
            <w:tcW w:type="dxa" w:w="2948"/>
            <w:shd w:fill="0B254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球员守则</w:t>
            </w:r>
          </w:p>
        </w:tc>
      </w:tr>
      <w:tr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家长须停留在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家长观赛区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（与边线保持至少 2 米距离），可以为孩子加油、鼓掌。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不得有干扰球员决策的行为：不在场边指挥、命令，不对任何球员打骂、讽刺、威胁、嘲笑。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比赛进行中不进入场地为孩子擦汗、喂水、拿书包等（球员受伤等特殊情况除外，须经执裁人员示意）。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尊重执裁人员（执裁教练 / 场地引导员）的判罚，不指责球员、教练员、执裁人员和组委会工作人员。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赛后多问孩子“今天开心吗？尝试了什么？”，少问“赢了吗？进了几个球？”。</w:t>
            </w:r>
          </w:p>
        </w:tc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在比赛中可以：指导替补队员、安排换人、向队员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提问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、为队员加油。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在比赛中不可以：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遥控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场上球员——如直接命令传球、射门、向左、加速、变向、向后、带球等剥夺球员自主决策的指令。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不得对任何人有打骂、指挥式命令、讽刺、威胁、嘲笑等负面语言行为。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技术战术指导在</w:t>
            </w:r>
            <w:r>
              <w:rPr>
                <w:rFonts w:ascii="Times New Roman" w:cs="Times New Roman" w:eastAsia="SimSun" w:hAnsi="Times New Roman"/>
                <w:b/>
                <w:bCs/>
                <w:color w:val="0B2545"/>
                <w:sz w:val="18"/>
                <w:szCs w:val="18"/>
              </w:rPr>
              <w:t xml:space="preserve">节间休息、中场休息</w:t>
            </w: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进行；场边只做简短的鼓励性示意。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保证每一名到场球员的上场时间与位置轮换，如实填写《上场时间记录表》。</w:t>
            </w:r>
          </w:p>
        </w:tc>
        <w:tc>
          <w:tcPr>
            <w:tcW w:type="dxa" w:w="2948"/>
            <w:shd w:fill="F5F8FB" w:color="auto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尊重对手、队友、执裁人员和观众；赛前赛后与对手握手。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全力以赴，胜不骄、败不馁；大胆尝试，不怕失误。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诚实比赛：球出界、碰手球主动承认；对手摔倒主动扶起。</w:t>
            </w:r>
          </w:p>
          <w:p>
            <w:pPr>
              <w:spacing w:after="60" w:line="280"/>
              <w:ind w:left="180" w:hanging="180"/>
            </w:pPr>
            <w:r>
              <w:rPr>
                <w:rFonts w:ascii="Times New Roman" w:cs="Times New Roman" w:eastAsia="SimSun" w:hAnsi="Times New Roman"/>
                <w:color w:val="13202F"/>
                <w:sz w:val="18"/>
                <w:szCs w:val="18"/>
              </w:rPr>
              <w:t xml:space="preserve">▪ 服从执裁，有疑问请队长礼貌询问。</w:t>
            </w:r>
          </w:p>
        </w:tc>
      </w:tr>
    </w:tbl>
    <w:p>
      <w:pPr>
        <w:spacing w:after="60" w:before="200" w:line="340"/>
        <w:jc w:val="both"/>
      </w:pP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赛场礼仪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：赛前赛后双方握手；比赛结束后，双方球队在队长带领下列队到对方技术区、观众区前集体行礼致谢。</w:t>
      </w:r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5A6B80"/>
          <w:sz w:val="19"/>
          <w:szCs w:val="19"/>
        </w:rPr>
        <w:t xml:space="preserve">未尽事宜以《2026 熊猫少儿足球联赛（秋季）竞赛规程》为准。</w:t>
      </w:r>
    </w:p>
    <w:p>
      <w:pPr>
        <w:spacing w:before="300"/>
        <w:jc w:val="right"/>
      </w:pPr>
      <w:r>
        <w:rPr>
          <w:rFonts w:ascii="Arial" w:cs="Arial" w:eastAsia="Microsoft YaHei" w:hAnsi="Arial"/>
          <w:b/>
          <w:bCs/>
          <w:color w:val="13202F"/>
          <w:sz w:val="22"/>
          <w:szCs w:val="22"/>
        </w:rPr>
        <w:t xml:space="preserve">熊猫少儿联赛赛区组委会</w:t>
      </w:r>
    </w:p>
    <w:p>
      <w:pPr>
        <w:jc w:val="right"/>
      </w:pPr>
      <w:r>
        <w:rPr>
          <w:rFonts w:ascii="Times New Roman" w:cs="Times New Roman" w:eastAsia="SimSun" w:hAnsi="Times New Roman"/>
          <w:color w:val="13202F"/>
          <w:sz w:val="20"/>
          <w:szCs w:val="20"/>
        </w:rPr>
        <w:t xml:space="preserve">2026 年 10 月</w:t>
      </w:r>
    </w:p>
    <w:sectPr>
      <w:headerReference w:type="default" r:id="rId6"/>
      <w:footerReference w:type="default" r:id="rId7"/>
      <w:pgSz w:w="11906" w:h="16838" w:orient="portrait"/>
      <w:pgMar w:top="1531" w:right="1531" w:bottom="1361" w:left="1531" w:header="720" w:footer="6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422"/>
        <w:tab w:val="right" w:pos="8844"/>
      </w:tabs>
    </w:pPr>
    <w:r>
      <w:rPr>
        <w:rFonts w:ascii="Arial" w:cs="Arial" w:eastAsia="Microsoft YaHei" w:hAnsi="Arial"/>
        <w:color w:val="5A6B80"/>
        <w:sz w:val="15"/>
        <w:szCs w:val="15"/>
      </w:rPr>
      <w:t xml:space="preserve">PYL-2026A-LOG · v1.0</w:t>
    </w:r>
    <w:r>
      <w:rPr>
        <w:rFonts w:ascii="Arial" w:cs="Arial" w:eastAsia="Microsoft YaHei" w:hAnsi="Arial"/>
        <w:color w:val="5A6B80"/>
        <w:sz w:val="15"/>
        <w:szCs w:val="15"/>
      </w:rPr>
      <w:t xml:space="preserve">	第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 / 共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</w:t>
    </w:r>
    <w:r>
      <w:rPr>
        <w:rFonts w:ascii="Arial" w:cs="Arial" w:eastAsia="Microsoft YaHei" w:hAnsi="Arial"/>
        <w:color w:val="5A6B80"/>
        <w:sz w:val="15"/>
        <w:szCs w:val="15"/>
      </w:rPr>
      <w:t xml:space="preserve">	成都高新区足球协会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518E" w:sz="6" w:space="4"/>
      </w:pBdr>
      <w:tabs>
        <w:tab w:val="right" w:pos="8844"/>
      </w:tabs>
      <w:spacing w:after="0"/>
    </w:pPr>
    <w:r>
      <w:drawing>
        <wp:inline distT="0" distB="0" distL="0" distR="0">
          <wp:extent cx="287998" cy="287998"/>
          <wp:effectExtent t="0" r="0" b="0" l="0"/>
          <wp:docPr id="3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998" cy="28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Microsoft YaHei" w:hAnsi="Arial"/>
        <w:b/>
        <w:bCs/>
        <w:color w:val="0B2545"/>
        <w:sz w:val="17"/>
        <w:szCs w:val="17"/>
      </w:rPr>
      <w:t xml:space="preserve">  熊猫少儿足球联赛 · 2026 秋季</w:t>
    </w:r>
    <w:r>
      <w:rPr>
        <w:rFonts w:ascii="Arial" w:cs="Arial" w:eastAsia="Microsoft YaHei" w:hAnsi="Arial"/>
        <w:color w:val="5A6B80"/>
        <w:sz w:val="17"/>
        <w:szCs w:val="17"/>
      </w:rPr>
      <w:t xml:space="preserve">	规则精要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color w:val="13202F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4518E" w:sz="8" w:space="4"/>
      </w:pBdr>
      <w:spacing w:after="160" w:before="360"/>
      <w:outlineLvl w:val="0"/>
    </w:pPr>
    <w:rPr>
      <w:rFonts w:ascii="Arial" w:cs="Arial" w:eastAsia="Microsoft YaHei" w:hAnsi="Arial"/>
      <w:b/>
      <w:bCs/>
      <w:color w:val="04518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Microsoft YaHei" w:hAnsi="Arial"/>
      <w:b/>
      <w:bCs/>
      <w:color w:val="0B2545"/>
      <w:sz w:val="23"/>
      <w:szCs w:val="23"/>
    </w:rPr>
  </w:style>
  <w:style w:type="paragraph" w:styleId="TOC1">
    <w:name w:val="toc 1"/>
    <w:basedOn w:val="Normal"/>
    <w:pPr>
      <w:spacing w:after="40" w:before="120"/>
    </w:pPr>
    <w:rPr>
      <w:rFonts w:ascii="Arial" w:cs="Arial" w:eastAsia="Microsoft YaHei" w:hAnsi="Arial"/>
      <w:b/>
      <w:bCs/>
      <w:color w:val="04518E"/>
      <w:sz w:val="22"/>
      <w:szCs w:val="22"/>
    </w:rPr>
  </w:style>
  <w:style w:type="paragraph" w:styleId="TOC2">
    <w:name w:val="toc 2"/>
    <w:basedOn w:val="Normal"/>
    <w:pPr>
      <w:spacing w:after="20"/>
      <w:ind w:left="420"/>
    </w:pPr>
    <w:rPr>
      <w:rFonts w:ascii="Times New Roman" w:cs="Times New Roman" w:eastAsia="SimSun" w:hAnsi="Times New Roman"/>
      <w:color w:val="13202F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bd62adcbd695510efa27f8c701efdae5723d138.png"/><Relationship Id="rId10" Type="http://schemas.openxmlformats.org/officeDocument/2006/relationships/image" Target="media/32bf0a3b9fae56c1bfcb6a3db5b9c124087d3b66.png"/><Relationship Id="rId11" Type="http://schemas.openxmlformats.org/officeDocument/2006/relationships/image" Target="media/c1041f8ad9c56865a431b7310b8e78c58cf8936f.png"/><Relationship Id="rId12" Type="http://schemas.openxmlformats.org/officeDocument/2006/relationships/image" Target="media/449901451d2caa77ab35c284c7de8019774f3db2.png"/><Relationship Id="rId13" Type="http://schemas.openxmlformats.org/officeDocument/2006/relationships/image" Target="media/e9aa5dd6a1ee80668b9dd4abcc4ea26a95d0f0d1.png"/><Relationship Id="rId14" Type="http://schemas.openxmlformats.org/officeDocument/2006/relationships/image" Target="media/af5f243ef0ea06298025bad0f02f48625d981647.png"/><Relationship Id="rId15" Type="http://schemas.openxmlformats.org/officeDocument/2006/relationships/image" Target="media/c514bb20e4df1d2bea2c12d443c6544e542bb994.png"/><Relationship Id="rId16" Type="http://schemas.openxmlformats.org/officeDocument/2006/relationships/image" Target="media/19d0424eca2ccd20c949d6f9ce3c14045f284025.png"/><Relationship Id="rId17" Type="http://schemas.openxmlformats.org/officeDocument/2006/relationships/image" Target="media/520fb3337614b998c7020e7e6e7b058e1103cd20.png"/><Relationship Id="rId18" Type="http://schemas.openxmlformats.org/officeDocument/2006/relationships/image" Target="media/0f8158463ebca3af4229b867bcbc79912430f0c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a7e4e04cc9c68f7f7e7669af28a042c3d668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熊猫少儿足球联赛（秋季） 规则精要</dc:title>
  <dc:creator>成都高新区足球协会</dc:creator>
  <dc:description>PYL-2026A-LOG v1.0</dc:description>
  <cp:lastModifiedBy>Un-named</cp:lastModifiedBy>
  <cp:revision>1</cp:revision>
  <dcterms:created xsi:type="dcterms:W3CDTF">2026-10-16T13:26:16.608Z</dcterms:created>
  <dcterms:modified xsi:type="dcterms:W3CDTF">2026-10-16T13:26:16.608Z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