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AB462" w14:textId="09CA77BE" w:rsidR="00F14639" w:rsidRDefault="00CE47B8" w:rsidP="00CE47B8">
      <w:pPr>
        <w:pStyle w:val="Title"/>
        <w:rPr>
          <w:lang w:val="en-GB"/>
        </w:rPr>
      </w:pPr>
      <w:r>
        <w:rPr>
          <w:lang w:val="en-GB"/>
        </w:rPr>
        <w:t>HIstorical research 4 concepts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E47B8" w14:paraId="244728E5" w14:textId="77777777" w:rsidTr="00CE4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3032E80" w14:textId="68A41852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Term</w:t>
            </w:r>
          </w:p>
        </w:tc>
        <w:tc>
          <w:tcPr>
            <w:tcW w:w="4531" w:type="dxa"/>
          </w:tcPr>
          <w:p w14:paraId="0C1BDF03" w14:textId="7114CDB5" w:rsidR="00CE47B8" w:rsidRDefault="00CE47B8" w:rsidP="00CE47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Definition</w:t>
            </w:r>
          </w:p>
        </w:tc>
      </w:tr>
      <w:tr w:rsidR="00CE47B8" w14:paraId="14DE819C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8F89283" w14:textId="7A9E9B55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Sources</w:t>
            </w:r>
          </w:p>
        </w:tc>
        <w:tc>
          <w:tcPr>
            <w:tcW w:w="4531" w:type="dxa"/>
          </w:tcPr>
          <w:p w14:paraId="531983B4" w14:textId="5A3D97F4" w:rsidR="00CE47B8" w:rsidRDefault="00CE47B8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Artifacts that provide evidence of the past, that the historian can use to interpret the past</w:t>
            </w:r>
          </w:p>
        </w:tc>
      </w:tr>
      <w:tr w:rsidR="00CE47B8" w14:paraId="59262604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71F02C2" w14:textId="338B5C7D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Primary source</w:t>
            </w:r>
          </w:p>
        </w:tc>
        <w:tc>
          <w:tcPr>
            <w:tcW w:w="4531" w:type="dxa"/>
          </w:tcPr>
          <w:p w14:paraId="3BB99216" w14:textId="76F9E68B" w:rsidR="00CE47B8" w:rsidRDefault="00CE47B8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 direct account of the event</w:t>
            </w:r>
          </w:p>
        </w:tc>
      </w:tr>
      <w:tr w:rsidR="00CE47B8" w14:paraId="21CC8833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78D40FF" w14:textId="29D2676B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Secondary literature/source</w:t>
            </w:r>
          </w:p>
        </w:tc>
        <w:tc>
          <w:tcPr>
            <w:tcW w:w="4531" w:type="dxa"/>
          </w:tcPr>
          <w:p w14:paraId="71032C6F" w14:textId="2C942865" w:rsidR="00CE47B8" w:rsidRDefault="00CE47B8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Academic literature about the event, based on the primary event</w:t>
            </w:r>
          </w:p>
        </w:tc>
      </w:tr>
      <w:tr w:rsidR="00CE47B8" w14:paraId="6FBBD9B3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E91D954" w14:textId="297983D6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Textual sources</w:t>
            </w:r>
          </w:p>
        </w:tc>
        <w:tc>
          <w:tcPr>
            <w:tcW w:w="4531" w:type="dxa"/>
          </w:tcPr>
          <w:p w14:paraId="7C4B4C52" w14:textId="68CC02B2" w:rsidR="00CE47B8" w:rsidRDefault="00CE47B8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Narrative/literary source, official papers and newspapers and records generated for everyday use, not necessarily meant to become public</w:t>
            </w:r>
          </w:p>
        </w:tc>
      </w:tr>
      <w:tr w:rsidR="00CE47B8" w14:paraId="1A471212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49BA83C" w14:textId="56410112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Visual sources</w:t>
            </w:r>
          </w:p>
        </w:tc>
        <w:tc>
          <w:tcPr>
            <w:tcW w:w="4531" w:type="dxa"/>
          </w:tcPr>
          <w:p w14:paraId="3291B12E" w14:textId="19F82518" w:rsidR="00CE47B8" w:rsidRDefault="00CE47B8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Any informational material from the past that has been conveyed through images</w:t>
            </w:r>
          </w:p>
        </w:tc>
      </w:tr>
      <w:tr w:rsidR="00CE47B8" w14:paraId="1ABCDEFF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38D06A5" w14:textId="52C7DF67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Auditory sources</w:t>
            </w:r>
          </w:p>
        </w:tc>
        <w:tc>
          <w:tcPr>
            <w:tcW w:w="4531" w:type="dxa"/>
          </w:tcPr>
          <w:p w14:paraId="4444B412" w14:textId="5B52267D" w:rsidR="00CE47B8" w:rsidRDefault="00CE47B8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Any informational sources that have been transmitted via sound</w:t>
            </w:r>
          </w:p>
        </w:tc>
      </w:tr>
      <w:tr w:rsidR="00CE47B8" w14:paraId="26740674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AC3A8EA" w14:textId="10D35ECF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Material sources</w:t>
            </w:r>
          </w:p>
        </w:tc>
        <w:tc>
          <w:tcPr>
            <w:tcW w:w="4531" w:type="dxa"/>
          </w:tcPr>
          <w:p w14:paraId="1F33EF67" w14:textId="66EA7A60" w:rsidR="00CE47B8" w:rsidRDefault="00CE47B8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Any physical or material artifact from the past</w:t>
            </w:r>
          </w:p>
        </w:tc>
      </w:tr>
      <w:tr w:rsidR="00CE47B8" w14:paraId="39F291E9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3A1B8B1" w14:textId="018E354A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Provenance</w:t>
            </w:r>
          </w:p>
        </w:tc>
        <w:tc>
          <w:tcPr>
            <w:tcW w:w="4531" w:type="dxa"/>
          </w:tcPr>
          <w:p w14:paraId="4E3748D9" w14:textId="3518D706" w:rsidR="00CE47B8" w:rsidRDefault="00CE47B8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By whom, when and where was the source produced</w:t>
            </w:r>
          </w:p>
        </w:tc>
      </w:tr>
      <w:tr w:rsidR="00CE47B8" w14:paraId="2A3392E6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377772A" w14:textId="00F67772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Digitized sources</w:t>
            </w:r>
          </w:p>
        </w:tc>
        <w:tc>
          <w:tcPr>
            <w:tcW w:w="4531" w:type="dxa"/>
          </w:tcPr>
          <w:p w14:paraId="09234C52" w14:textId="1F90A77B" w:rsidR="00CE47B8" w:rsidRDefault="00CE47B8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Originally an analogue source</w:t>
            </w:r>
          </w:p>
        </w:tc>
      </w:tr>
      <w:tr w:rsidR="00CE47B8" w14:paraId="06EA2F1A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100FF0D" w14:textId="0E3E7B48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Digital born source</w:t>
            </w:r>
          </w:p>
        </w:tc>
        <w:tc>
          <w:tcPr>
            <w:tcW w:w="4531" w:type="dxa"/>
          </w:tcPr>
          <w:p w14:paraId="3E4562C0" w14:textId="0087AF41" w:rsidR="00CE47B8" w:rsidRDefault="00CE47B8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Source that originated online/ as a digital source</w:t>
            </w:r>
          </w:p>
        </w:tc>
      </w:tr>
      <w:tr w:rsidR="00CE47B8" w14:paraId="5E3ABE1F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197FDC5" w14:textId="7A1A2764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The Matthew effect</w:t>
            </w:r>
          </w:p>
        </w:tc>
        <w:tc>
          <w:tcPr>
            <w:tcW w:w="4531" w:type="dxa"/>
          </w:tcPr>
          <w:p w14:paraId="1EEF5273" w14:textId="563220AC" w:rsidR="00CE47B8" w:rsidRDefault="00CE47B8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Sources that (already) have been digitized are cited more as they are easier to access, leading to them being seen as more important, leading to them being cited more </w:t>
            </w:r>
            <w:r w:rsidRPr="00CE47B8">
              <w:rPr>
                <w:lang w:val="en-GB"/>
              </w:rPr>
              <w:sym w:font="Wingdings" w:char="F0E0"/>
            </w:r>
            <w:r>
              <w:rPr>
                <w:lang w:val="en-GB"/>
              </w:rPr>
              <w:t xml:space="preserve"> snowball effect</w:t>
            </w:r>
          </w:p>
        </w:tc>
      </w:tr>
      <w:tr w:rsidR="00CE47B8" w14:paraId="7601CCBB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3241875" w14:textId="35334DFD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Logocentrism</w:t>
            </w:r>
          </w:p>
        </w:tc>
        <w:tc>
          <w:tcPr>
            <w:tcW w:w="4531" w:type="dxa"/>
          </w:tcPr>
          <w:p w14:paraId="1ACAED64" w14:textId="53FF6AF8" w:rsidR="00CE47B8" w:rsidRDefault="00CE47B8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Focus on the written word as the main method for historians to analyse the past</w:t>
            </w:r>
          </w:p>
        </w:tc>
      </w:tr>
      <w:tr w:rsidR="00CE47B8" w14:paraId="7BFAAA12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D0E5DAC" w14:textId="63E1E158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Serial sources</w:t>
            </w:r>
          </w:p>
        </w:tc>
        <w:tc>
          <w:tcPr>
            <w:tcW w:w="4531" w:type="dxa"/>
          </w:tcPr>
          <w:p w14:paraId="4B2C425C" w14:textId="448ACE4A" w:rsidR="00CE47B8" w:rsidRDefault="00CE47B8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 source or set of sources that provides information on the same topic over a number of years</w:t>
            </w:r>
          </w:p>
        </w:tc>
      </w:tr>
      <w:tr w:rsidR="00CE47B8" w14:paraId="72412907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AE85BE4" w14:textId="3EA75EAC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Quantitative sources</w:t>
            </w:r>
          </w:p>
        </w:tc>
        <w:tc>
          <w:tcPr>
            <w:tcW w:w="4531" w:type="dxa"/>
          </w:tcPr>
          <w:p w14:paraId="0F19F7B9" w14:textId="68B00EF2" w:rsidR="00CE47B8" w:rsidRDefault="00CE47B8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Sources that can be studied quantitatively, their contain quantitative data</w:t>
            </w:r>
          </w:p>
        </w:tc>
      </w:tr>
      <w:tr w:rsidR="00CE47B8" w14:paraId="36B0C72E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1431DE9" w14:textId="22573841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New Economic History</w:t>
            </w:r>
          </w:p>
        </w:tc>
        <w:tc>
          <w:tcPr>
            <w:tcW w:w="4531" w:type="dxa"/>
          </w:tcPr>
          <w:p w14:paraId="06DF118B" w14:textId="4DCDEB1E" w:rsidR="00CE47B8" w:rsidRDefault="00CE47B8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Movement about using data and data analysis techniques from economics to understand history (controversial)</w:t>
            </w:r>
          </w:p>
        </w:tc>
      </w:tr>
      <w:tr w:rsidR="00CE47B8" w14:paraId="0E931807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D253A08" w14:textId="428892AB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Data set</w:t>
            </w:r>
          </w:p>
        </w:tc>
        <w:tc>
          <w:tcPr>
            <w:tcW w:w="4531" w:type="dxa"/>
          </w:tcPr>
          <w:p w14:paraId="18304350" w14:textId="3CD7ED91" w:rsidR="00CE47B8" w:rsidRDefault="00CE47B8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Coherent selection of consistent data from the whole range of available data</w:t>
            </w:r>
          </w:p>
        </w:tc>
      </w:tr>
      <w:tr w:rsidR="00CE47B8" w14:paraId="3E1FCBED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B0328F3" w14:textId="772FD6D3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 xml:space="preserve">Sampling </w:t>
            </w:r>
          </w:p>
        </w:tc>
        <w:tc>
          <w:tcPr>
            <w:tcW w:w="4531" w:type="dxa"/>
          </w:tcPr>
          <w:p w14:paraId="3346CC7E" w14:textId="20C8BFD3" w:rsidR="00CE47B8" w:rsidRDefault="00CE47B8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Selecting part of the data</w:t>
            </w:r>
          </w:p>
        </w:tc>
      </w:tr>
      <w:tr w:rsidR="00CE47B8" w14:paraId="257DC9D9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0E20A93" w14:textId="7938A47A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Regression analysis</w:t>
            </w:r>
          </w:p>
        </w:tc>
        <w:tc>
          <w:tcPr>
            <w:tcW w:w="4531" w:type="dxa"/>
          </w:tcPr>
          <w:p w14:paraId="7ABC5109" w14:textId="28C0DEF5" w:rsidR="00CE47B8" w:rsidRDefault="00CE47B8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Method for understanding the relation between your variables, x-y graph</w:t>
            </w:r>
          </w:p>
        </w:tc>
      </w:tr>
      <w:tr w:rsidR="00CE47B8" w14:paraId="6CF58630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E265362" w14:textId="073B74DA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Selection bias</w:t>
            </w:r>
          </w:p>
        </w:tc>
        <w:tc>
          <w:tcPr>
            <w:tcW w:w="4531" w:type="dxa"/>
          </w:tcPr>
          <w:p w14:paraId="3F59A401" w14:textId="57AE848F" w:rsidR="00CE47B8" w:rsidRDefault="00CE47B8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Is everything equally reported? Who can make the sources?</w:t>
            </w:r>
          </w:p>
        </w:tc>
      </w:tr>
      <w:tr w:rsidR="00CE47B8" w14:paraId="016C72F4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A1AC48E" w14:textId="377AB9BB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Public interest accounting</w:t>
            </w:r>
          </w:p>
        </w:tc>
        <w:tc>
          <w:tcPr>
            <w:tcW w:w="4531" w:type="dxa"/>
          </w:tcPr>
          <w:p w14:paraId="0FF33CB4" w14:textId="33EBD528" w:rsidR="00CE47B8" w:rsidRDefault="00CE47B8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Statistics collected for social, political, cultural aims (like CBS)</w:t>
            </w:r>
          </w:p>
        </w:tc>
      </w:tr>
      <w:tr w:rsidR="00CE47B8" w14:paraId="147B0D40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3A1CD77" w14:textId="6E206F47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History from things</w:t>
            </w:r>
          </w:p>
        </w:tc>
        <w:tc>
          <w:tcPr>
            <w:tcW w:w="4531" w:type="dxa"/>
          </w:tcPr>
          <w:p w14:paraId="01542779" w14:textId="25F9F68C" w:rsidR="00CE47B8" w:rsidRDefault="00CE47B8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Objects used to reconstruct processes in the past</w:t>
            </w:r>
          </w:p>
        </w:tc>
      </w:tr>
      <w:tr w:rsidR="00CE47B8" w14:paraId="36922129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971C170" w14:textId="3CD0055A" w:rsidR="00CE47B8" w:rsidRDefault="00CE47B8" w:rsidP="00CE47B8">
            <w:pPr>
              <w:rPr>
                <w:lang w:val="en-GB"/>
              </w:rPr>
            </w:pPr>
            <w:r>
              <w:rPr>
                <w:lang w:val="en-GB"/>
              </w:rPr>
              <w:t>History of things</w:t>
            </w:r>
          </w:p>
        </w:tc>
        <w:tc>
          <w:tcPr>
            <w:tcW w:w="4531" w:type="dxa"/>
          </w:tcPr>
          <w:p w14:paraId="1C16ED16" w14:textId="70A0B7E8" w:rsidR="00CE47B8" w:rsidRDefault="00CE47B8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Objects as a starting point to research often about the relationship between people and </w:t>
            </w:r>
            <w:r w:rsidR="00B60F17">
              <w:rPr>
                <w:lang w:val="en-GB"/>
              </w:rPr>
              <w:t>object</w:t>
            </w:r>
          </w:p>
        </w:tc>
      </w:tr>
      <w:tr w:rsidR="00CE47B8" w14:paraId="2A2D2373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DEE1C1A" w14:textId="31CE9B64" w:rsidR="00CE47B8" w:rsidRDefault="00B60F17" w:rsidP="00CE47B8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The agency of things</w:t>
            </w:r>
          </w:p>
        </w:tc>
        <w:tc>
          <w:tcPr>
            <w:tcW w:w="4531" w:type="dxa"/>
          </w:tcPr>
          <w:p w14:paraId="22B8E4C5" w14:textId="15F7CFCE" w:rsidR="00CE47B8" w:rsidRDefault="00B60F17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The nature of objects is subjective, so the agency is the social life of things</w:t>
            </w:r>
          </w:p>
        </w:tc>
      </w:tr>
      <w:tr w:rsidR="00B60F17" w14:paraId="3B4F4328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DB60CDF" w14:textId="574ED0F9" w:rsidR="00B60F17" w:rsidRDefault="00B60F17" w:rsidP="00CE47B8">
            <w:pPr>
              <w:rPr>
                <w:lang w:val="en-GB"/>
              </w:rPr>
            </w:pPr>
            <w:r>
              <w:rPr>
                <w:lang w:val="en-GB"/>
              </w:rPr>
              <w:t>The social life of things</w:t>
            </w:r>
          </w:p>
        </w:tc>
        <w:tc>
          <w:tcPr>
            <w:tcW w:w="4531" w:type="dxa"/>
          </w:tcPr>
          <w:p w14:paraId="5C18B7C7" w14:textId="562591A9" w:rsidR="00B60F17" w:rsidRDefault="00B60F17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Human actors encode them with meaning in forms, functions and trajectories, things-in-motion reveal a politics of value</w:t>
            </w:r>
          </w:p>
        </w:tc>
      </w:tr>
      <w:tr w:rsidR="00B60F17" w14:paraId="68D0DD22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48E9B05" w14:textId="512ADC69" w:rsidR="00B60F17" w:rsidRDefault="00B60F17" w:rsidP="00CE47B8">
            <w:pPr>
              <w:rPr>
                <w:lang w:val="en-GB"/>
              </w:rPr>
            </w:pPr>
            <w:r>
              <w:rPr>
                <w:lang w:val="en-GB"/>
              </w:rPr>
              <w:t>Biographies of an object</w:t>
            </w:r>
          </w:p>
        </w:tc>
        <w:tc>
          <w:tcPr>
            <w:tcW w:w="4531" w:type="dxa"/>
          </w:tcPr>
          <w:p w14:paraId="1DDE00C9" w14:textId="56542F50" w:rsidR="00B60F17" w:rsidRDefault="00B60F17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The changing meaning and contexts of the item (just like biography of a person)</w:t>
            </w:r>
          </w:p>
        </w:tc>
      </w:tr>
      <w:tr w:rsidR="00B60F17" w14:paraId="6F97D7B6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AB05BFB" w14:textId="317E78B3" w:rsidR="00B60F17" w:rsidRDefault="00B60F17" w:rsidP="00CE47B8">
            <w:pPr>
              <w:rPr>
                <w:lang w:val="en-GB"/>
              </w:rPr>
            </w:pPr>
            <w:r>
              <w:rPr>
                <w:lang w:val="en-GB"/>
              </w:rPr>
              <w:t>Archiving</w:t>
            </w:r>
          </w:p>
        </w:tc>
        <w:tc>
          <w:tcPr>
            <w:tcW w:w="4531" w:type="dxa"/>
          </w:tcPr>
          <w:p w14:paraId="2AC55698" w14:textId="74D0B30A" w:rsidR="00B60F17" w:rsidRDefault="00B60F17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The process of putting historical sources in an archive. What is left out and what is included?</w:t>
            </w:r>
          </w:p>
        </w:tc>
      </w:tr>
      <w:tr w:rsidR="00B60F17" w14:paraId="07197AAB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8A2E934" w14:textId="661AFB11" w:rsidR="00B60F17" w:rsidRDefault="00B60F17" w:rsidP="00CE47B8">
            <w:pPr>
              <w:rPr>
                <w:lang w:val="en-GB"/>
              </w:rPr>
            </w:pPr>
            <w:r>
              <w:rPr>
                <w:lang w:val="en-GB"/>
              </w:rPr>
              <w:t>Private archives</w:t>
            </w:r>
          </w:p>
        </w:tc>
        <w:tc>
          <w:tcPr>
            <w:tcW w:w="4531" w:type="dxa"/>
          </w:tcPr>
          <w:p w14:paraId="0CD94ADB" w14:textId="2DBCA046" w:rsidR="00B60F17" w:rsidRDefault="00B60F17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Often not publicly accessible, no standard regulations, voluntary deposit</w:t>
            </w:r>
          </w:p>
        </w:tc>
      </w:tr>
      <w:tr w:rsidR="00B60F17" w14:paraId="384CE4ED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35FC334" w14:textId="10F0EC61" w:rsidR="00B60F17" w:rsidRDefault="00B60F17" w:rsidP="00CE47B8">
            <w:pPr>
              <w:rPr>
                <w:lang w:val="en-GB"/>
              </w:rPr>
            </w:pPr>
            <w:r>
              <w:rPr>
                <w:lang w:val="en-GB"/>
              </w:rPr>
              <w:t>State archives</w:t>
            </w:r>
          </w:p>
        </w:tc>
        <w:tc>
          <w:tcPr>
            <w:tcW w:w="4531" w:type="dxa"/>
          </w:tcPr>
          <w:p w14:paraId="6BD07CB4" w14:textId="16B954A1" w:rsidR="00B60F17" w:rsidRDefault="00B60F17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Obligatory deposit after 20 years, publicly accessible, regulated by laws and legal frameworks </w:t>
            </w:r>
          </w:p>
        </w:tc>
      </w:tr>
      <w:tr w:rsidR="00B60F17" w14:paraId="4EF6C29E" w14:textId="77777777" w:rsidTr="00CE4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41E7F52" w14:textId="337B263E" w:rsidR="00B60F17" w:rsidRDefault="00B60F17" w:rsidP="00CE47B8">
            <w:pPr>
              <w:rPr>
                <w:lang w:val="en-GB"/>
              </w:rPr>
            </w:pPr>
            <w:r>
              <w:rPr>
                <w:lang w:val="en-GB"/>
              </w:rPr>
              <w:t>Structural reasons (for the loss of potential sources)</w:t>
            </w:r>
          </w:p>
        </w:tc>
        <w:tc>
          <w:tcPr>
            <w:tcW w:w="4531" w:type="dxa"/>
          </w:tcPr>
          <w:p w14:paraId="41074534" w14:textId="39D8B23B" w:rsidR="00B60F17" w:rsidRDefault="00B60F17" w:rsidP="00CE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Much is destroyed, archives’ regulations and selection criteria</w:t>
            </w:r>
          </w:p>
        </w:tc>
      </w:tr>
      <w:tr w:rsidR="00B60F17" w14:paraId="3869A185" w14:textId="77777777" w:rsidTr="00CE4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75DC4DD" w14:textId="46C3E5AA" w:rsidR="00B60F17" w:rsidRDefault="00B60F17" w:rsidP="00CE47B8">
            <w:pPr>
              <w:rPr>
                <w:lang w:val="en-GB"/>
              </w:rPr>
            </w:pPr>
            <w:r>
              <w:rPr>
                <w:lang w:val="en-GB"/>
              </w:rPr>
              <w:t>Incidental reasons (for the loss of potential sources)</w:t>
            </w:r>
          </w:p>
        </w:tc>
        <w:tc>
          <w:tcPr>
            <w:tcW w:w="4531" w:type="dxa"/>
          </w:tcPr>
          <w:p w14:paraId="235614D3" w14:textId="35BF6BC3" w:rsidR="00B60F17" w:rsidRDefault="00B60F17" w:rsidP="00CE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Creator has not preserved it, vagaries of time, wars, theft, natural disasters</w:t>
            </w:r>
          </w:p>
        </w:tc>
      </w:tr>
    </w:tbl>
    <w:p w14:paraId="37606554" w14:textId="77777777" w:rsidR="00CE47B8" w:rsidRPr="00CE47B8" w:rsidRDefault="00CE47B8" w:rsidP="00CE47B8">
      <w:pPr>
        <w:rPr>
          <w:lang w:val="en-GB"/>
        </w:rPr>
      </w:pPr>
    </w:p>
    <w:sectPr w:rsidR="00CE47B8" w:rsidRPr="00CE47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B8"/>
    <w:rsid w:val="00954C7C"/>
    <w:rsid w:val="009D3DA7"/>
    <w:rsid w:val="00B60F17"/>
    <w:rsid w:val="00CE47B8"/>
    <w:rsid w:val="00F1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5FAE3"/>
  <w15:chartTrackingRefBased/>
  <w15:docId w15:val="{B7128CFD-88B0-46E7-BE50-2AA8995B3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nl-N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DA7"/>
  </w:style>
  <w:style w:type="paragraph" w:styleId="Heading1">
    <w:name w:val="heading 1"/>
    <w:basedOn w:val="Normal"/>
    <w:next w:val="Normal"/>
    <w:link w:val="Heading1Char"/>
    <w:uiPriority w:val="9"/>
    <w:qFormat/>
    <w:rsid w:val="009D3DA7"/>
    <w:pPr>
      <w:pBdr>
        <w:top w:val="single" w:sz="24" w:space="0" w:color="762EB1" w:themeColor="accent1"/>
        <w:left w:val="single" w:sz="24" w:space="0" w:color="762EB1" w:themeColor="accent1"/>
        <w:bottom w:val="single" w:sz="24" w:space="0" w:color="762EB1" w:themeColor="accent1"/>
        <w:right w:val="single" w:sz="24" w:space="0" w:color="762EB1" w:themeColor="accent1"/>
      </w:pBdr>
      <w:shd w:val="clear" w:color="auto" w:fill="762EB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DA7"/>
    <w:pPr>
      <w:pBdr>
        <w:top w:val="single" w:sz="24" w:space="0" w:color="E3D1F3" w:themeColor="accent1" w:themeTint="33"/>
        <w:left w:val="single" w:sz="24" w:space="0" w:color="E3D1F3" w:themeColor="accent1" w:themeTint="33"/>
        <w:bottom w:val="single" w:sz="24" w:space="0" w:color="E3D1F3" w:themeColor="accent1" w:themeTint="33"/>
        <w:right w:val="single" w:sz="24" w:space="0" w:color="E3D1F3" w:themeColor="accent1" w:themeTint="33"/>
      </w:pBdr>
      <w:shd w:val="clear" w:color="auto" w:fill="E3D1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DA7"/>
    <w:pPr>
      <w:pBdr>
        <w:top w:val="single" w:sz="6" w:space="2" w:color="762EB1" w:themeColor="accent1"/>
      </w:pBdr>
      <w:spacing w:before="300" w:after="0"/>
      <w:outlineLvl w:val="2"/>
    </w:pPr>
    <w:rPr>
      <w:caps/>
      <w:color w:val="3A175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3DA7"/>
    <w:pPr>
      <w:pBdr>
        <w:top w:val="dotted" w:sz="6" w:space="2" w:color="762EB1" w:themeColor="accent1"/>
      </w:pBdr>
      <w:spacing w:before="200" w:after="0"/>
      <w:outlineLvl w:val="3"/>
    </w:pPr>
    <w:rPr>
      <w:caps/>
      <w:color w:val="58228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3DA7"/>
    <w:pPr>
      <w:pBdr>
        <w:bottom w:val="single" w:sz="6" w:space="1" w:color="762EB1" w:themeColor="accent1"/>
      </w:pBdr>
      <w:spacing w:before="200" w:after="0"/>
      <w:outlineLvl w:val="4"/>
    </w:pPr>
    <w:rPr>
      <w:caps/>
      <w:color w:val="58228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3DA7"/>
    <w:pPr>
      <w:pBdr>
        <w:bottom w:val="dotted" w:sz="6" w:space="1" w:color="762EB1" w:themeColor="accent1"/>
      </w:pBdr>
      <w:spacing w:before="200" w:after="0"/>
      <w:outlineLvl w:val="5"/>
    </w:pPr>
    <w:rPr>
      <w:caps/>
      <w:color w:val="58228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3DA7"/>
    <w:pPr>
      <w:spacing w:before="200" w:after="0"/>
      <w:outlineLvl w:val="6"/>
    </w:pPr>
    <w:rPr>
      <w:caps/>
      <w:color w:val="58228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DA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DA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DA7"/>
    <w:rPr>
      <w:caps/>
      <w:color w:val="FFFFFF" w:themeColor="background1"/>
      <w:spacing w:val="15"/>
      <w:sz w:val="22"/>
      <w:szCs w:val="22"/>
      <w:shd w:val="clear" w:color="auto" w:fill="762EB1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D3DA7"/>
    <w:rPr>
      <w:caps/>
      <w:spacing w:val="15"/>
      <w:shd w:val="clear" w:color="auto" w:fill="E3D1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D3DA7"/>
    <w:rPr>
      <w:caps/>
      <w:color w:val="3A175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9D3DA7"/>
    <w:rPr>
      <w:caps/>
      <w:color w:val="58228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9D3DA7"/>
    <w:rPr>
      <w:caps/>
      <w:color w:val="58228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9D3DA7"/>
    <w:rPr>
      <w:caps/>
      <w:color w:val="58228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9D3DA7"/>
    <w:rPr>
      <w:caps/>
      <w:color w:val="58228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DA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DA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3DA7"/>
    <w:rPr>
      <w:b/>
      <w:bCs/>
      <w:color w:val="582284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D3DA7"/>
    <w:pPr>
      <w:spacing w:before="0" w:after="0"/>
    </w:pPr>
    <w:rPr>
      <w:rFonts w:asciiTheme="majorHAnsi" w:eastAsiaTheme="majorEastAsia" w:hAnsiTheme="majorHAnsi" w:cstheme="majorBidi"/>
      <w:caps/>
      <w:color w:val="762EB1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D3DA7"/>
    <w:rPr>
      <w:rFonts w:asciiTheme="majorHAnsi" w:eastAsiaTheme="majorEastAsia" w:hAnsiTheme="majorHAnsi" w:cstheme="majorBidi"/>
      <w:caps/>
      <w:color w:val="762EB1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DA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D3DA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D3DA7"/>
    <w:rPr>
      <w:b/>
      <w:bCs/>
    </w:rPr>
  </w:style>
  <w:style w:type="character" w:styleId="Emphasis">
    <w:name w:val="Emphasis"/>
    <w:uiPriority w:val="20"/>
    <w:qFormat/>
    <w:rsid w:val="009D3DA7"/>
    <w:rPr>
      <w:caps/>
      <w:color w:val="3A1758" w:themeColor="accent1" w:themeShade="7F"/>
      <w:spacing w:val="5"/>
    </w:rPr>
  </w:style>
  <w:style w:type="paragraph" w:styleId="NoSpacing">
    <w:name w:val="No Spacing"/>
    <w:uiPriority w:val="1"/>
    <w:qFormat/>
    <w:rsid w:val="009D3DA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D3DA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D3DA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DA7"/>
    <w:pPr>
      <w:spacing w:before="240" w:after="240" w:line="240" w:lineRule="auto"/>
      <w:ind w:left="1080" w:right="1080"/>
      <w:jc w:val="center"/>
    </w:pPr>
    <w:rPr>
      <w:color w:val="762EB1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DA7"/>
    <w:rPr>
      <w:color w:val="762EB1" w:themeColor="accent1"/>
      <w:sz w:val="24"/>
      <w:szCs w:val="24"/>
    </w:rPr>
  </w:style>
  <w:style w:type="character" w:styleId="SubtleEmphasis">
    <w:name w:val="Subtle Emphasis"/>
    <w:uiPriority w:val="19"/>
    <w:qFormat/>
    <w:rsid w:val="009D3DA7"/>
    <w:rPr>
      <w:i/>
      <w:iCs/>
      <w:color w:val="3A1758" w:themeColor="accent1" w:themeShade="7F"/>
    </w:rPr>
  </w:style>
  <w:style w:type="character" w:styleId="IntenseEmphasis">
    <w:name w:val="Intense Emphasis"/>
    <w:uiPriority w:val="21"/>
    <w:qFormat/>
    <w:rsid w:val="009D3DA7"/>
    <w:rPr>
      <w:b/>
      <w:bCs/>
      <w:caps/>
      <w:color w:val="3A1758" w:themeColor="accent1" w:themeShade="7F"/>
      <w:spacing w:val="10"/>
    </w:rPr>
  </w:style>
  <w:style w:type="character" w:styleId="SubtleReference">
    <w:name w:val="Subtle Reference"/>
    <w:uiPriority w:val="31"/>
    <w:qFormat/>
    <w:rsid w:val="009D3DA7"/>
    <w:rPr>
      <w:b/>
      <w:bCs/>
      <w:color w:val="762EB1" w:themeColor="accent1"/>
    </w:rPr>
  </w:style>
  <w:style w:type="character" w:styleId="IntenseReference">
    <w:name w:val="Intense Reference"/>
    <w:uiPriority w:val="32"/>
    <w:qFormat/>
    <w:rsid w:val="009D3DA7"/>
    <w:rPr>
      <w:b/>
      <w:bCs/>
      <w:i/>
      <w:iCs/>
      <w:caps/>
      <w:color w:val="762EB1" w:themeColor="accent1"/>
    </w:rPr>
  </w:style>
  <w:style w:type="character" w:styleId="BookTitle">
    <w:name w:val="Book Title"/>
    <w:uiPriority w:val="33"/>
    <w:qFormat/>
    <w:rsid w:val="009D3DA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3DA7"/>
    <w:pPr>
      <w:outlineLvl w:val="9"/>
    </w:pPr>
  </w:style>
  <w:style w:type="paragraph" w:styleId="ListParagraph">
    <w:name w:val="List Paragraph"/>
    <w:basedOn w:val="Normal"/>
    <w:uiPriority w:val="34"/>
    <w:qFormat/>
    <w:rsid w:val="009D3DA7"/>
    <w:pPr>
      <w:ind w:left="720"/>
      <w:contextualSpacing/>
    </w:pPr>
  </w:style>
  <w:style w:type="table" w:styleId="TableGrid">
    <w:name w:val="Table Grid"/>
    <w:basedOn w:val="TableNormal"/>
    <w:uiPriority w:val="39"/>
    <w:rsid w:val="00CE47B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E47B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E47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E47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2">
    <w:name w:val="Grid Table 4 Accent 2"/>
    <w:basedOn w:val="TableNormal"/>
    <w:uiPriority w:val="49"/>
    <w:rsid w:val="00CE47B8"/>
    <w:pPr>
      <w:spacing w:after="0" w:line="240" w:lineRule="auto"/>
    </w:pPr>
    <w:tblPr>
      <w:tblStyleRowBandSize w:val="1"/>
      <w:tblStyleColBandSize w:val="1"/>
      <w:tblBorders>
        <w:top w:val="single" w:sz="4" w:space="0" w:color="BF94E2" w:themeColor="accent2" w:themeTint="99"/>
        <w:left w:val="single" w:sz="4" w:space="0" w:color="BF94E2" w:themeColor="accent2" w:themeTint="99"/>
        <w:bottom w:val="single" w:sz="4" w:space="0" w:color="BF94E2" w:themeColor="accent2" w:themeTint="99"/>
        <w:right w:val="single" w:sz="4" w:space="0" w:color="BF94E2" w:themeColor="accent2" w:themeTint="99"/>
        <w:insideH w:val="single" w:sz="4" w:space="0" w:color="BF94E2" w:themeColor="accent2" w:themeTint="99"/>
        <w:insideV w:val="single" w:sz="4" w:space="0" w:color="BF94E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4ECF" w:themeColor="accent2"/>
          <w:left w:val="single" w:sz="4" w:space="0" w:color="964ECF" w:themeColor="accent2"/>
          <w:bottom w:val="single" w:sz="4" w:space="0" w:color="964ECF" w:themeColor="accent2"/>
          <w:right w:val="single" w:sz="4" w:space="0" w:color="964ECF" w:themeColor="accent2"/>
          <w:insideH w:val="nil"/>
          <w:insideV w:val="nil"/>
        </w:tcBorders>
        <w:shd w:val="clear" w:color="auto" w:fill="964ECF" w:themeFill="accent2"/>
      </w:tcPr>
    </w:tblStylePr>
    <w:tblStylePr w:type="lastRow">
      <w:rPr>
        <w:b/>
        <w:bCs/>
      </w:rPr>
      <w:tblPr/>
      <w:tcPr>
        <w:tcBorders>
          <w:top w:val="double" w:sz="4" w:space="0" w:color="964E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BF5" w:themeFill="accent2" w:themeFillTint="33"/>
      </w:tcPr>
    </w:tblStylePr>
    <w:tblStylePr w:type="band1Horz">
      <w:tblPr/>
      <w:tcPr>
        <w:shd w:val="clear" w:color="auto" w:fill="E9DBF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762EB1"/>
      </a:accent1>
      <a:accent2>
        <a:srgbClr val="964ECF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461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Tessa Faber</dc:creator>
  <cp:keywords/>
  <dc:description/>
  <cp:lastModifiedBy>Tessa Faber</cp:lastModifiedBy>
  <cp:revision>1</cp:revision>
  <dcterms:created xsi:type="dcterms:W3CDTF">2026-06-12T15:41:00Z</dcterms:created>
  <dcterms:modified xsi:type="dcterms:W3CDTF">2026-06-12T15:56:00Z</dcterms:modified>
</cp:coreProperties>
</file>