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True Online (TOL) Automation Testing Standard &amp; Documentation Suite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 xml:space="preserve">This project contains the complete Enterprise Automation Testing Framework and Role Documentation for the </w:t>
      </w:r>
      <w:r>
        <w:rPr>
          <w:rFonts w:ascii="Calibri" w:hAnsi="Calibri"/>
          <w:b/>
          <w:color w:val="282828"/>
          <w:sz w:val="21"/>
        </w:rPr>
        <w:t>True Online (TOL) Registration &amp; Omnichannel Sales System</w:t>
      </w:r>
      <w:r>
        <w:rPr>
          <w:rFonts w:ascii="Calibri" w:hAnsi="Calibri"/>
          <w:color w:val="282828"/>
          <w:sz w:val="21"/>
        </w:rPr>
        <w:t xml:space="preserve"> on </w:t>
      </w:r>
      <w:r>
        <w:rPr>
          <w:rFonts w:ascii="Calibri" w:hAnsi="Calibri"/>
          <w:b/>
          <w:color w:val="282828"/>
          <w:sz w:val="21"/>
        </w:rPr>
        <w:t>One App</w:t>
      </w:r>
      <w:r>
        <w:rPr>
          <w:rFonts w:ascii="Calibri" w:hAnsi="Calibri"/>
          <w:color w:val="282828"/>
          <w:sz w:val="21"/>
        </w:rPr>
        <w:t xml:space="preserve">, adhering strictly to the </w:t>
      </w:r>
      <w:r>
        <w:rPr>
          <w:rFonts w:ascii="Calibri" w:hAnsi="Calibri"/>
          <w:b/>
          <w:color w:val="282828"/>
          <w:sz w:val="21"/>
        </w:rPr>
        <w:t>Company Automation Standard (`Standard/Example_By_BAS`)</w:t>
      </w:r>
      <w:r>
        <w:rPr>
          <w:rFonts w:ascii="Calibri" w:hAnsi="Calibri"/>
          <w:color w:val="282828"/>
          <w:sz w:val="21"/>
        </w:rPr>
        <w:t>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📁 Project Architecture &amp; Folder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c:\Users\frank\Vasup\TOL\</w:t>
              <w:br/>
              <w:t>├── docs/                                 # Role-Specific Specifications</w:t>
              <w:br/>
              <w:t>│   ├── 01_BA_Business_Analysis_Specification.md   # BA: Business flows, rules &amp; logic</w:t>
              <w:br/>
              <w:t>│   ├── 02_PO_Product_Owner_Specification.md       # PO: Vision, Epics, Stories &amp; Gherkin AC</w:t>
              <w:br/>
              <w:t>│   ├── 03_TOL_Requirements_Document_BRD_PRD.md     # BRD/PRD: All 23 modules specifications</w:t>
              <w:br/>
              <w:t>│   └── 04_Traceability_Matrix_And_Test_Mapping.md # Requirements-to-Test Traceability</w:t>
              <w:br/>
              <w:t>│</w:t>
              <w:br/>
              <w:t>├── .locator/                             # Direct Locator Repositories</w:t>
              <w:br/>
              <w:t>│   ├── gis_coverage.locator</w:t>
              <w:br/>
              <w:t>│   ├── service_and_kyc.locator</w:t>
              <w:br/>
              <w:t>│   ├── package_and_order.locator</w:t>
              <w:br/>
              <w:t>│   └── registration.locator                  # Registration hub, channel codes &amp; PDPA</w:t>
              <w:br/>
              <w:t>│</w:t>
              <w:br/>
              <w:t>├── .page/                                # Direct Page Object Definitions</w:t>
              <w:br/>
              <w:t>│   ├── gis_coverage.page</w:t>
              <w:br/>
              <w:t>│   ├── service_and_kyc.page</w:t>
              <w:br/>
              <w:t>│   ├── package_and_order.page</w:t>
              <w:br/>
              <w:t>│   └── registration.page                     # Registration hub, partner &amp; draft handling</w:t>
              <w:br/>
              <w:t>│</w:t>
              <w:br/>
              <w:t>├── .features/ &amp; features/                # BDD Gherkin Feature Files (Visual Studio Ready)</w:t>
              <w:br/>
              <w:t>│   ├── 01_SGIS_Coverage_Check.feature</w:t>
              <w:br/>
              <w:t>│   ├── 02_Service_Selection_And_KYC.feature</w:t>
              <w:br/>
              <w:t>│   ├── 03_Privilege_And_Package.feature</w:t>
              <w:br/>
              <w:t>│   └── 04_Appointment_And_Order_Submission.feature</w:t>
              <w:br/>
              <w:t>│   └── registration.feature                  # E2E TrueOnline Registration Lifecycle</w:t>
              <w:br/>
              <w:t>│</w:t>
              <w:br/>
              <w:t>├── locators/                             # Standard Robot Framework Locators</w:t>
              <w:br/>
              <w:t>│   ├── gis_coverage_locator.resource</w:t>
              <w:br/>
              <w:t>│   ├── service_type_locator.resource</w:t>
              <w:br/>
              <w:t>│   ├── customer_id_locator.resource</w:t>
              <w:br/>
              <w:t>│   ├── kyc_self_verification_locator.resource</w:t>
              <w:br/>
              <w:t>│   ├── privilege_locator.resource</w:t>
              <w:br/>
              <w:t>│   ├── package_selection_locator.resource</w:t>
              <w:br/>
              <w:t>│   ├── customer_info_locator.resource</w:t>
              <w:br/>
              <w:t>│   ├── appointment_locator.resource</w:t>
              <w:br/>
              <w:t>│   ├── order_review_locator.resource</w:t>
              <w:br/>
              <w:t>│   ├── order_submission_locator.resource</w:t>
              <w:br/>
              <w:t>│   └── registration_locator.resource         # ${REGISTRATION.*}</w:t>
              <w:br/>
              <w:t>│</w:t>
              <w:br/>
              <w:t>├── keywords/                             # Page Object Model (POM) &amp; Feature Flow Keywords</w:t>
              <w:br/>
              <w:t>│   ├── common/</w:t>
              <w:br/>
              <w:t>│   │   └── common.resource              # Browser lifecycle, explicit wait helpers</w:t>
              <w:br/>
              <w:t>│   └── tol/</w:t>
              <w:br/>
              <w:t>│       ├── component/                    # Reusable UI widgets (Headers, Dialogs)</w:t>
              <w:br/>
              <w:t>│       │   ├── header_container.resource</w:t>
              <w:br/>
              <w:t>│       │   └── popup_dialog.resource</w:t>
              <w:br/>
              <w:t>│       ├── pages/                        # Screen-level low-level actions (.page)</w:t>
              <w:br/>
              <w:t>│       │   ├── gis_coverage_page.resource</w:t>
              <w:br/>
              <w:t>│       │   ├── service_type_page.resource</w:t>
              <w:br/>
              <w:t>│       │   ├── customer_id_page.resource</w:t>
              <w:br/>
              <w:t>│       │   ├── kyc_self_verification_page.resource</w:t>
              <w:br/>
              <w:t>│       │   ├── privilege_page.resource</w:t>
              <w:br/>
              <w:t>│       │   ├── package_selection_page.resource</w:t>
              <w:br/>
              <w:t>│       │   ├── customer_info_page.resource</w:t>
              <w:br/>
              <w:t>│       │   ├── appointment_page.resource</w:t>
              <w:br/>
              <w:t>│       │   ├── order_review_page.resource</w:t>
              <w:br/>
              <w:t>│       │   ├── order_submission_page.resource</w:t>
              <w:br/>
              <w:t>│       │   └── registration_page.resource    # 1-line common.* calls</w:t>
              <w:br/>
              <w:t>│       └── features/                     # Reusable business step flows (.features)</w:t>
              <w:br/>
              <w:t>│           ├── check_coverage_feature.resource</w:t>
              <w:br/>
              <w:t>│           ├── select_bundle_package_feature.resource</w:t>
              <w:br/>
              <w:t>│           ├── customer_kyc_verification_feature.resource</w:t>
              <w:br/>
              <w:t>│           ├── package_and_privilege_feature.resource</w:t>
              <w:br/>
              <w:t>│           ├── installation_appointment_feature.resource</w:t>
              <w:br/>
              <w:t>│           ├── order_submission_e2e_feature.resource</w:t>
              <w:br/>
              <w:t>│           └── registration_feature.resource # High-level registration workflows</w:t>
              <w:br/>
              <w:t>│</w:t>
              <w:br/>
              <w:t>├── imports/                              # Unified Resource Import Hubs</w:t>
              <w:br/>
              <w:t>│   ├── import_locators.resource</w:t>
              <w:br/>
              <w:t>│   ├── import_pages.resource</w:t>
              <w:br/>
              <w:t>│   ├── import_features.resource</w:t>
              <w:br/>
              <w:t>│   └── import_common_components.resource</w:t>
              <w:br/>
              <w:t>│</w:t>
              <w:br/>
              <w:t>├── settings/                             # Environment &amp; Linter Configurations</w:t>
              <w:br/>
              <w:t>│   ├── sit/settings.yaml</w:t>
              <w:br/>
              <w:t>│   ├── uat/settings.yaml</w:t>
              <w:br/>
              <w:t>│   └── robocop/settings.cfg</w:t>
              <w:br/>
              <w:t>│</w:t>
              <w:br/>
              <w:t>├── testdata/                             # Externalized Multi-Environment Test Data</w:t>
              <w:br/>
              <w:t>│   ├── sit/testdata.yaml</w:t>
              <w:br/>
              <w:t>│   └── uat/testdata.yaml</w:t>
              <w:br/>
              <w:t>│</w:t>
              <w:br/>
              <w:t>└── testcases/                            # Robot Framework Test Suites</w:t>
              <w:br/>
              <w:t xml:space="preserve">    ├── tc_tol_e2e_01_green_coverage_standalone.robot</w:t>
              <w:br/>
              <w:t xml:space="preserve">    ├── tc_tol_e2e_02_yellow_coverage_overcable_approval.robot</w:t>
              <w:br/>
              <w:t xml:space="preserve">    ├── tc_tol_e2e_03_convergence_2p_tmh_bundle.robot</w:t>
              <w:br/>
              <w:t xml:space="preserve">    ├── tc_tol_e2e_04_convergence_4p_e2e_order.robot</w:t>
              <w:br/>
              <w:t xml:space="preserve">    └── tc_tol_e2e_05_registration_lifecycle.robot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🧑‍💼 Role-Specific Deliverables Summary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1. Business Analyst (BA) Specification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Path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docs/01_BA_Business_Analysis_Specification.md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Highlights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Detailed actor matrix: Sales Agent (DLR/CODO), Customer, GIS Team, Downstream Fulfillment (HL/iOM).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High-level business process flows and decision points.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Business rules for coverage classification (Green, Yellow with </w:t>
      </w:r>
      <w:r>
        <w:rPr>
          <w:rFonts w:ascii="Consolas" w:hAnsi="Consolas"/>
          <w:color w:val="C7254E"/>
          <w:sz w:val="19"/>
        </w:rPr>
        <w:t>TC Approve Flag</w:t>
      </w:r>
      <w:r>
        <w:rPr>
          <w:rFonts w:ascii="Calibri" w:hAnsi="Calibri"/>
          <w:color w:val="282828"/>
          <w:sz w:val="20"/>
        </w:rPr>
        <w:t>, Red with Waiting list).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Convergence bundling rules: 1P, 2POTT, 3POTT, 4POTT.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Biometric KYC, OCR, Fraud TMV credit rules, and appointment slot locking logic.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2. Product Owner (PO) Specification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Path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docs/02_PO_Product_Owner_Specification.md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Highlights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Strategic vision and customer conversion KPIs.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Jira Epic Breakdown (</w:t>
      </w:r>
      <w:r>
        <w:rPr>
          <w:rFonts w:ascii="Consolas" w:hAnsi="Consolas"/>
          <w:color w:val="C7254E"/>
          <w:sz w:val="19"/>
        </w:rPr>
        <w:t>THL-1087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THL-1089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THL-1090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THL-1091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THL-1092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THL-1095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Sprint user stories with formal </w:t>
      </w:r>
      <w:r>
        <w:rPr>
          <w:rFonts w:ascii="Calibri" w:hAnsi="Calibri"/>
          <w:b/>
          <w:color w:val="282828"/>
          <w:sz w:val="20"/>
        </w:rPr>
        <w:t>Gherkin Acceptance Criteria (Given-When-Then)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Definition of Ready (DoR) and Definition of Done (DoD).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3. Business &amp; Product Requirements Document (BRD / PRD)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Path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docs/03_TOL_Requirements_Document_BRD_PRD.md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Highlights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Comprehensive technical specifications for all </w:t>
      </w:r>
      <w:r>
        <w:rPr>
          <w:rFonts w:ascii="Calibri" w:hAnsi="Calibri"/>
          <w:b/>
          <w:color w:val="282828"/>
          <w:sz w:val="20"/>
        </w:rPr>
        <w:t>23 functional modules</w:t>
      </w:r>
      <w:r>
        <w:rPr>
          <w:rFonts w:ascii="Calibri" w:hAnsi="Calibri"/>
          <w:color w:val="282828"/>
          <w:sz w:val="20"/>
        </w:rPr>
        <w:t xml:space="preserve"> from customer documentation.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Architectural context diagram and downstream API contracts (</w:t>
      </w:r>
      <w:r>
        <w:rPr>
          <w:rFonts w:ascii="Consolas" w:hAnsi="Consolas"/>
          <w:color w:val="C7254E"/>
          <w:sz w:val="19"/>
        </w:rPr>
        <w:t>tolSubmit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tolGetTmhEligibility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SMARTUI-validateTMVFraudAndBlackList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S3 file storage policies and regulatory compliance standards (PDPA &amp; NBTC).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 Traceability Matrix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Path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docs/04_Traceability_Matrix_And_Test_Mapping.md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Highlights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Bi-directional matrix mapping customer Excel test cases $\leftrightarrow$ Jira Epics $\leftrightarrow$ User Stories $\leftrightarrow$ Page Objects $\leftrightarrow$ Automated Test Cases.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🎯 How to Present in Visual Studio to the Customer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When presenting this project in Visual Studio or VS Code: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Open Workspace Folder</w:t>
      </w:r>
      <w:r>
        <w:rPr>
          <w:rFonts w:ascii="Calibri" w:hAnsi="Calibri"/>
          <w:color w:val="282828"/>
          <w:sz w:val="20"/>
        </w:rPr>
        <w:t xml:space="preserve">: Open </w:t>
      </w:r>
      <w:r>
        <w:rPr>
          <w:rFonts w:ascii="Consolas" w:hAnsi="Consolas"/>
          <w:color w:val="C7254E"/>
          <w:sz w:val="19"/>
        </w:rPr>
        <w:t>c:\Users\frank\Vasup\TOL</w:t>
      </w:r>
      <w:r>
        <w:rPr>
          <w:rFonts w:ascii="Calibri" w:hAnsi="Calibri"/>
          <w:color w:val="282828"/>
          <w:sz w:val="20"/>
        </w:rPr>
        <w:t xml:space="preserve"> in Visual Studio.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Showcase Requirements Alignment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Open </w:t>
      </w:r>
      <w:r>
        <w:rPr>
          <w:rFonts w:ascii="Consolas" w:hAnsi="Consolas"/>
          <w:color w:val="C7254E"/>
          <w:sz w:val="19"/>
        </w:rPr>
        <w:t>docs/04_Traceability_Matrix_And_Test_Mapping.md</w:t>
      </w:r>
      <w:r>
        <w:rPr>
          <w:rFonts w:ascii="Calibri" w:hAnsi="Calibri"/>
          <w:color w:val="282828"/>
          <w:sz w:val="20"/>
        </w:rPr>
        <w:t xml:space="preserve"> to demonstrate how every single module from their Excel files is mapped.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Walk through </w:t>
      </w:r>
      <w:r>
        <w:rPr>
          <w:rFonts w:ascii="Consolas" w:hAnsi="Consolas"/>
          <w:color w:val="C7254E"/>
          <w:sz w:val="19"/>
        </w:rPr>
        <w:t>docs/01_BA_Business_Analysis_Specification.md</w:t>
      </w:r>
      <w:r>
        <w:rPr>
          <w:rFonts w:ascii="Calibri" w:hAnsi="Calibri"/>
          <w:color w:val="282828"/>
          <w:sz w:val="20"/>
        </w:rPr>
        <w:t xml:space="preserve"> and </w:t>
      </w:r>
      <w:r>
        <w:rPr>
          <w:rFonts w:ascii="Consolas" w:hAnsi="Consolas"/>
          <w:color w:val="C7254E"/>
          <w:sz w:val="19"/>
        </w:rPr>
        <w:t>docs/02_PO_Product_Owner_Specification.md</w:t>
      </w:r>
      <w:r>
        <w:rPr>
          <w:rFonts w:ascii="Calibri" w:hAnsi="Calibri"/>
          <w:color w:val="282828"/>
          <w:sz w:val="20"/>
        </w:rPr>
        <w:t xml:space="preserve"> to show deep understanding of TrueOnline business logic.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Showcase Visual Studio File Structure (`.locator`, `.page`, `.features`)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Highlight </w:t>
      </w:r>
      <w:r>
        <w:rPr>
          <w:rFonts w:ascii="Consolas" w:hAnsi="Consolas"/>
          <w:color w:val="C7254E"/>
          <w:sz w:val="19"/>
        </w:rPr>
        <w:t>.locator/</w:t>
      </w:r>
      <w:r>
        <w:rPr>
          <w:rFonts w:ascii="Calibri" w:hAnsi="Calibri"/>
          <w:color w:val="282828"/>
          <w:sz w:val="20"/>
        </w:rPr>
        <w:t xml:space="preserve"> showing clean element separation.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Highlight </w:t>
      </w:r>
      <w:r>
        <w:rPr>
          <w:rFonts w:ascii="Consolas" w:hAnsi="Consolas"/>
          <w:color w:val="C7254E"/>
          <w:sz w:val="19"/>
        </w:rPr>
        <w:t>.page/</w:t>
      </w:r>
      <w:r>
        <w:rPr>
          <w:rFonts w:ascii="Calibri" w:hAnsi="Calibri"/>
          <w:color w:val="282828"/>
          <w:sz w:val="20"/>
        </w:rPr>
        <w:t xml:space="preserve"> showing encapsulated screen logic.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Highlight </w:t>
      </w:r>
      <w:r>
        <w:rPr>
          <w:rFonts w:ascii="Consolas" w:hAnsi="Consolas"/>
          <w:color w:val="C7254E"/>
          <w:sz w:val="19"/>
        </w:rPr>
        <w:t>.features/</w:t>
      </w:r>
      <w:r>
        <w:rPr>
          <w:rFonts w:ascii="Calibri" w:hAnsi="Calibri"/>
          <w:color w:val="282828"/>
          <w:sz w:val="20"/>
        </w:rPr>
        <w:t xml:space="preserve"> showing BDD acceptance criteria readable by business stakeholders.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color w:val="282828"/>
          <w:sz w:val="20"/>
        </w:rPr>
        <w:t>Showcase Company Standard Architecture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Open </w:t>
      </w:r>
      <w:r>
        <w:rPr>
          <w:rFonts w:ascii="Consolas" w:hAnsi="Consolas"/>
          <w:color w:val="C7254E"/>
          <w:sz w:val="19"/>
        </w:rPr>
        <w:t>common/common.resource</w:t>
      </w:r>
      <w:r>
        <w:rPr>
          <w:rFonts w:ascii="Calibri" w:hAnsi="Calibri"/>
          <w:color w:val="282828"/>
          <w:sz w:val="20"/>
        </w:rPr>
        <w:t xml:space="preserve"> to demonstrate the centralized primitive engine: all low-level selenium waits, clicks, inputs, and validations are maintained in one place.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Open </w:t>
      </w:r>
      <w:r>
        <w:rPr>
          <w:rFonts w:ascii="Consolas" w:hAnsi="Consolas"/>
          <w:color w:val="C7254E"/>
          <w:sz w:val="19"/>
        </w:rPr>
        <w:t>imports/imports.resource</w:t>
      </w:r>
      <w:r>
        <w:rPr>
          <w:rFonts w:ascii="Calibri" w:hAnsi="Calibri"/>
          <w:color w:val="282828"/>
          <w:sz w:val="20"/>
        </w:rPr>
        <w:t xml:space="preserve"> to demonstrate master imports that eliminate repetitive code across tests.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Open </w:t>
      </w:r>
      <w:r>
        <w:rPr>
          <w:rFonts w:ascii="Consolas" w:hAnsi="Consolas"/>
          <w:color w:val="C7254E"/>
          <w:sz w:val="19"/>
        </w:rPr>
        <w:t>keywords/tol/pages/</w:t>
      </w:r>
      <w:r>
        <w:rPr>
          <w:rFonts w:ascii="Calibri" w:hAnsi="Calibri"/>
          <w:color w:val="282828"/>
          <w:sz w:val="20"/>
        </w:rPr>
        <w:t xml:space="preserve"> and </w:t>
      </w:r>
      <w:r>
        <w:rPr>
          <w:rFonts w:ascii="Consolas" w:hAnsi="Consolas"/>
          <w:color w:val="C7254E"/>
          <w:sz w:val="19"/>
        </w:rPr>
        <w:t>keywords/tol/features/</w:t>
      </w:r>
      <w:r>
        <w:rPr>
          <w:rFonts w:ascii="Calibri" w:hAnsi="Calibri"/>
          <w:color w:val="282828"/>
          <w:sz w:val="20"/>
        </w:rPr>
        <w:t xml:space="preserve"> to show separation of concerns: low-level page interactions vs reusable business workflows.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Open </w:t>
      </w:r>
      <w:r>
        <w:rPr>
          <w:rFonts w:ascii="Consolas" w:hAnsi="Consolas"/>
          <w:color w:val="C7254E"/>
          <w:sz w:val="19"/>
        </w:rPr>
        <w:t>testcases/tc_tol_e2e_01_green_coverage_standalone.robot</w:t>
      </w:r>
      <w:r>
        <w:rPr>
          <w:rFonts w:ascii="Calibri" w:hAnsi="Calibri"/>
          <w:color w:val="282828"/>
          <w:sz w:val="20"/>
        </w:rPr>
        <w:t xml:space="preserve"> to demonstrate how clean, readable, and maintainable the end-to-end tests are (under 10 lines of test logic).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⚡ Company Standard Philosophy: "Use As Much As Less Code As Possible"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The framework strictly adheres to the principle of minimal test code and zero boilerplate: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Centralized Primitives (`common/common.resource`)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Every browser wait, click, input, scroll, frame switch, and assertion lives exclusively in </w:t>
      </w:r>
      <w:r>
        <w:rPr>
          <w:rFonts w:ascii="Consolas" w:hAnsi="Consolas"/>
          <w:color w:val="C7254E"/>
          <w:sz w:val="19"/>
        </w:rPr>
        <w:t>common/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Page objects never write raw Selenium loops or hardcoded timeouts; they delegate directly to </w:t>
      </w:r>
      <w:r>
        <w:rPr>
          <w:rFonts w:ascii="Consolas" w:hAnsi="Consolas"/>
          <w:color w:val="C7254E"/>
          <w:sz w:val="19"/>
        </w:rPr>
        <w:t>common.*</w:t>
      </w:r>
      <w:r>
        <w:rPr>
          <w:rFonts w:ascii="Calibri" w:hAnsi="Calibri"/>
          <w:color w:val="282828"/>
          <w:sz w:val="20"/>
        </w:rPr>
        <w:t xml:space="preserve"> (e.g. </w:t>
      </w:r>
      <w:r>
        <w:rPr>
          <w:rFonts w:ascii="Consolas" w:hAnsi="Consolas"/>
          <w:color w:val="C7254E"/>
          <w:sz w:val="19"/>
        </w:rPr>
        <w:t>common.Click element when ready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common.Input text when ready</w:t>
      </w:r>
      <w:r>
        <w:rPr>
          <w:rFonts w:ascii="Calibri" w:hAnsi="Calibri"/>
          <w:color w:val="282828"/>
          <w:sz w:val="20"/>
        </w:rPr>
        <w:t>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One-Line Page Objects (`keywords/tol/pages/`)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Each page keyword is a concise 1-line or 2-line wrapper over </w:t>
      </w:r>
      <w:r>
        <w:rPr>
          <w:rFonts w:ascii="Consolas" w:hAnsi="Consolas"/>
          <w:color w:val="C7254E"/>
          <w:sz w:val="19"/>
        </w:rPr>
        <w:t>common.*</w:t>
      </w:r>
      <w:r>
        <w:rPr>
          <w:rFonts w:ascii="Calibri" w:hAnsi="Calibri"/>
          <w:color w:val="282828"/>
          <w:sz w:val="20"/>
        </w:rPr>
        <w:t xml:space="preserve"> coupled with locators.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Minimalist Test Cases (`testcases/`)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Test cases only declare 4–7 high-level business feature keywords: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*** Test Cases ***</w:t>
              <w:br/>
              <w:t>TC_TOL_NEW_MODULE_EXAMPLE</w:t>
              <w:br/>
              <w:t xml:space="preserve">    common.Open chrome browser      ${application['base_url']}</w:t>
              <w:br/>
              <w:t xml:space="preserve">    check_coverage_feature.Verify And Confirm Green Coverage Feasibility    ${addresses['green_coverage']['query']}</w:t>
              <w:br/>
              <w:t xml:space="preserve">    select_bundle_package_feature.Select Standalone 1P Broadband Online Channel</w:t>
              <w:br/>
              <w:t xml:space="preserve">    package_and_privilege_feature.Select Package With General Public Privilege    media_tech=FTTH    offer_code=FTTH_500M</w:t>
              <w:br/>
              <w:t xml:space="preserve">    ${order_id}=    order_submission_e2e_feature.Review Contract Sign And Submit Order    ...</w:t>
              <w:br/>
              <w:t xml:space="preserve">    Should Not Be Empty    ${order_id}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🌐 Interactive Test Report &amp; Web Simulation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Live Application File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Calibri" w:hAnsi="Calibri"/>
          <w:color w:val="282828"/>
          <w:sz w:val="20"/>
        </w:rPr>
        <w:t xml:space="preserve"> (self-contained interactive dashboard and test execution runner)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Online URL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www.franktest.online</w:t>
      </w:r>
      <w:r>
        <w:rPr>
          <w:rFonts w:ascii="Calibri" w:hAnsi="Calibri"/>
          <w:color w:val="282828"/>
          <w:sz w:val="20"/>
        </w:rPr>
        <w:t xml:space="preserve"> / </w:t>
      </w:r>
      <w:r>
        <w:rPr>
          <w:rFonts w:ascii="Consolas" w:hAnsi="Consolas"/>
          <w:color w:val="C7254E"/>
          <w:sz w:val="19"/>
        </w:rPr>
        <w:t>www.franktest.xyz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Deployment Guide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docs/05_Deployment_And_Hosting_Guide_FrankTest.md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TOL Automation Testing Standard &amp; Architecture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