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spacing w:after="240"/>
        <w:jc w:val="center"/>
      </w:pPr>
      <w:r>
        <w:rPr>
          <w:rFonts w:ascii="Calibri" w:hAnsi="Calibri"/>
          <w:b/>
          <w:color w:val="D99B6C"/>
          <w:sz w:val="19"/>
        </w:rPr>
        <w:t>PARTNER ARCHITECTURE · JULY 2026</w:t>
      </w:r>
    </w:p>
    <w:p>
      <w:pPr>
        <w:pStyle w:val="Title"/>
        <w:spacing w:after="160"/>
        <w:jc w:val="center"/>
      </w:pPr>
      <w:r>
        <w:rPr>
          <w:rFonts w:ascii="Calibri" w:hAnsi="Calibri"/>
          <w:b/>
          <w:color w:val="173F35"/>
          <w:sz w:val="60"/>
        </w:rPr>
        <w:t>Alba Gut Intelligence System</w:t>
      </w:r>
    </w:p>
    <w:p>
      <w:pPr>
        <w:pStyle w:val="Subtitle"/>
        <w:jc w:val="center"/>
      </w:pPr>
      <w:r>
        <w:rPr>
          <w:rFonts w:ascii="Calibri" w:hAnsi="Calibri"/>
          <w:color w:val="2C5F72"/>
          <w:sz w:val="30"/>
        </w:rPr>
        <w:t>From microbiome insight to safe, sustained family action</w:t>
      </w:r>
    </w:p>
    <w:p>
      <w:pPr>
        <w:spacing w:before="160" w:after="600"/>
        <w:jc w:val="center"/>
      </w:pPr>
      <w:r>
        <w:rPr>
          <w:rFonts w:ascii="Calibri" w:hAnsi="Calibri"/>
          <w:i/>
          <w:color w:val="62706B"/>
          <w:sz w:val="23"/>
        </w:rPr>
        <w:t>A governed parent journey, skill system and agent layer for Alba Health</w:t>
      </w:r>
    </w:p>
    <w:tbl>
      <w:tblPr>
        <w:tblW w:type="dxa" w:w="9360"/>
        <w:jc w:val="left"/>
        <w:tblLayout w:type="fixed"/>
        <w:tblLook w:firstColumn="1" w:firstRow="1" w:lastColumn="0" w:lastRow="0" w:noHBand="0" w:noVBand="1" w:val="04A0"/>
        <w:tblInd w:w="0" w:type="dxa"/>
        <w:tbl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blBorders>
      </w:tblPr>
      <w:tblGrid>
        <w:gridCol w:w="3120"/>
        <w:gridCol w:w="3120"/>
        <w:gridCol w:w="3120"/>
      </w:tblGrid>
      <w:tr>
        <w:tc>
          <w:tcPr>
            <w:tcW w:type="dxa" w:w="3120"/>
            <w:tcMar>
              <w:top w:w="80" w:type="dxa"/>
              <w:start w:w="120" w:type="dxa"/>
              <w:bottom w:w="80" w:type="dxa"/>
              <w:end w:w="120" w:type="dxa"/>
            </w:tcMar>
            <w:vAlign w:val="center"/>
            <w:shd w:fill="F3F1E9"/>
          </w:tcPr>
          <w:p>
            <w:pPr>
              <w:spacing w:after="80"/>
              <w:jc w:val="center"/>
            </w:pPr>
            <w:r>
              <w:rPr>
                <w:rFonts w:ascii="Calibri" w:hAnsi="Calibri"/>
                <w:b/>
                <w:color w:val="173F35"/>
                <w:sz w:val="16"/>
              </w:rPr>
              <w:t>CURRENT STRENGTH</w:t>
            </w:r>
          </w:p>
          <w:p>
            <w:pPr>
              <w:spacing w:after="0"/>
              <w:jc w:val="center"/>
            </w:pPr>
            <w:r>
              <w:rPr>
                <w:rFonts w:ascii="Calibri" w:hAnsi="Calibri"/>
                <w:b/>
                <w:color w:val="1B2623"/>
                <w:sz w:val="20"/>
              </w:rPr>
              <w:t>Test + coach + 12-month Advisor</w:t>
            </w:r>
          </w:p>
        </w:tc>
        <w:tc>
          <w:tcPr>
            <w:tcW w:type="dxa" w:w="3120"/>
            <w:tcMar>
              <w:top w:w="80" w:type="dxa"/>
              <w:start w:w="120" w:type="dxa"/>
              <w:bottom w:w="80" w:type="dxa"/>
              <w:end w:w="120" w:type="dxa"/>
            </w:tcMar>
            <w:vAlign w:val="center"/>
            <w:shd w:fill="DDE9E1"/>
          </w:tcPr>
          <w:p>
            <w:pPr>
              <w:spacing w:after="80"/>
              <w:jc w:val="center"/>
            </w:pPr>
            <w:r>
              <w:rPr>
                <w:rFonts w:ascii="Calibri" w:hAnsi="Calibri"/>
                <w:b/>
                <w:color w:val="173F35"/>
                <w:sz w:val="16"/>
              </w:rPr>
              <w:t>MISSING SYSTEM</w:t>
            </w:r>
          </w:p>
          <w:p>
            <w:pPr>
              <w:spacing w:after="0"/>
              <w:jc w:val="center"/>
            </w:pPr>
            <w:r>
              <w:rPr>
                <w:rFonts w:ascii="Calibri" w:hAnsi="Calibri"/>
                <w:b/>
                <w:color w:val="1B2623"/>
                <w:sz w:val="20"/>
              </w:rPr>
              <w:t>Governed longitudinal family memory</w:t>
            </w:r>
          </w:p>
        </w:tc>
        <w:tc>
          <w:tcPr>
            <w:tcW w:type="dxa" w:w="3120"/>
            <w:tcMar>
              <w:top w:w="80" w:type="dxa"/>
              <w:start w:w="120" w:type="dxa"/>
              <w:bottom w:w="80" w:type="dxa"/>
              <w:end w:w="120" w:type="dxa"/>
            </w:tcMar>
            <w:vAlign w:val="center"/>
            <w:shd w:fill="F3F1E9"/>
          </w:tcPr>
          <w:p>
            <w:pPr>
              <w:spacing w:after="80"/>
              <w:jc w:val="center"/>
            </w:pPr>
            <w:r>
              <w:rPr>
                <w:rFonts w:ascii="Calibri" w:hAnsi="Calibri"/>
                <w:b/>
                <w:color w:val="173F35"/>
                <w:sz w:val="16"/>
              </w:rPr>
              <w:t>PILOT OUTCOME</w:t>
            </w:r>
          </w:p>
          <w:p>
            <w:pPr>
              <w:spacing w:after="0"/>
              <w:jc w:val="center"/>
            </w:pPr>
            <w:r>
              <w:rPr>
                <w:rFonts w:ascii="Calibri" w:hAnsi="Calibri"/>
                <w:b/>
                <w:color w:val="1B2623"/>
                <w:sz w:val="20"/>
              </w:rPr>
              <w:t>Safer action, higher adherence, stronger retest loop</w:t>
            </w:r>
          </w:p>
        </w:tc>
      </w:tr>
    </w:tbl>
    <w:p>
      <w:pPr>
        <w:spacing w:before="920"/>
        <w:jc w:val="center"/>
      </w:pPr>
      <w:r>
        <w:rPr>
          <w:rFonts w:ascii="Calibri" w:hAnsi="Calibri"/>
          <w:b/>
          <w:color w:val="173F35"/>
          <w:sz w:val="21"/>
        </w:rPr>
        <w:t>Prepared for Nora Cavani and Alba Health</w:t>
      </w:r>
    </w:p>
    <w:p>
      <w:pPr>
        <w:spacing w:after="0"/>
        <w:jc w:val="center"/>
      </w:pPr>
      <w:r>
        <w:rPr>
          <w:rFonts w:ascii="Calibri" w:hAnsi="Calibri"/>
          <w:color w:val="62706B"/>
          <w:sz w:val="19"/>
        </w:rPr>
        <w:t>Starlight Intelligence Systems · FrankX</w:t>
      </w:r>
    </w:p>
    <w:p>
      <w:r>
        <w:br w:type="page"/>
      </w:r>
    </w:p>
    <w:p>
      <w:pPr>
        <w:pStyle w:val="Heading1"/>
      </w:pPr>
      <w:r>
        <w:t>1. Decision</w:t>
      </w:r>
    </w:p>
    <w:p>
      <w:pPr>
        <w:spacing w:line="288" w:lineRule="auto" w:before="160" w:after="200"/>
        <w:shd w:fill="DDE9E1"/>
        <w:pBdr>
          <w:left w:val="single" w:sz="18" w:space="8" w:color="9BB7A5"/>
        </w:pBdr>
        <w:ind w:left="230" w:right="115"/>
      </w:pPr>
      <w:r>
        <w:rPr>
          <w:rFonts w:ascii="Calibri" w:hAnsi="Calibri"/>
          <w:b/>
          <w:color w:val="173F35"/>
          <w:sz w:val="21"/>
        </w:rPr>
        <w:t xml:space="preserve">THE MOVE  </w:t>
      </w:r>
      <w:r>
        <w:rPr>
          <w:rFonts w:ascii="Calibri" w:hAnsi="Calibri"/>
          <w:color w:val="1B2623"/>
          <w:sz w:val="21"/>
        </w:rPr>
        <w:t>Build the Gut Intelligence System as an Alba-owned vertical runtime on the Starlight control plane. It should augment Alba Advisor, not replace it; remain invisible to parents as infrastructure; and turn the existing test-to-report experience into a governed 90-day behavior and outcomes loop.</w:t>
      </w:r>
    </w:p>
    <w:p>
      <w:r>
        <w:rPr>
          <w:rFonts w:ascii="Calibri" w:hAnsi="Calibri"/>
          <w:color w:val="1B2623"/>
        </w:rPr>
        <w:t>Alba already owns the hard wedge: child-specific microbiome science, a certified-lab workflow, a trusted brand, nutrition coaches, an app, a 12-month AI Advisor, and meaningful family distribution. Rebuilding those surfaces would add technical debt without creating strategic advantage.</w:t>
      </w:r>
    </w:p>
    <w:p>
      <w:r>
        <w:rPr>
          <w:rFonts w:ascii="Calibri" w:hAnsi="Calibri"/>
          <w:color w:val="1B2623"/>
        </w:rPr>
        <w:t>The missing economic system is longitudinal: convert recommendations into family-compatible meals, capture what was actually tried, route uncertainty to a human, measure adherence and outcomes, and make the retest decision obvious. That is the Gut Intelligence vertical.</w:t>
      </w:r>
    </w:p>
    <w:p>
      <w:pPr>
        <w:pStyle w:val="Heading2"/>
      </w:pPr>
      <w:r>
        <w:t>Venture thesis</w:t>
      </w:r>
    </w:p>
    <w:tbl>
      <w:tblPr>
        <w:tblW w:type="dxa" w:w="9360"/>
        <w:jc w:val="left"/>
        <w:tblLayout w:type="fixed"/>
        <w:tblLook w:firstColumn="1" w:firstRow="1" w:lastColumn="0" w:lastRow="0" w:noHBand="0" w:noVBand="1" w:val="04A0"/>
        <w:tblInd w:w="120" w:type="dxa"/>
        <w:tblBorders>
          <w:top w:val="single" w:sz="5" w:space="0" w:color="D8DEDB"/>
          <w:left w:val="single" w:sz="5" w:space="0" w:color="D8DEDB"/>
          <w:bottom w:val="single" w:sz="5" w:space="0" w:color="D8DEDB"/>
          <w:right w:val="single" w:sz="5" w:space="0" w:color="D8DEDB"/>
          <w:insideH w:val="single" w:sz="5" w:space="0" w:color="D8DEDB"/>
          <w:insideV w:val="single" w:sz="5" w:space="0" w:color="D8DEDB"/>
        </w:tblBorders>
      </w:tblPr>
      <w:tblGrid>
        <w:gridCol w:w="1800"/>
        <w:gridCol w:w="7560"/>
      </w:tblGrid>
      <w:tr>
        <w:trPr>
          <w:tblHeader/>
        </w:trPr>
        <w:tc>
          <w:tcPr>
            <w:tcW w:type="dxa" w:w="18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8"/>
              </w:rPr>
              <w:t>Element</w:t>
            </w:r>
          </w:p>
        </w:tc>
        <w:tc>
          <w:tcPr>
            <w:tcW w:type="dxa" w:w="756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8"/>
              </w:rPr>
              <w:t>Decision</w:t>
            </w:r>
          </w:p>
        </w:tc>
      </w:tr>
      <w:tr>
        <w:tc>
          <w:tcPr>
            <w:tcW w:type="dxa" w:w="1800"/>
          </w:tcPr>
          <w:p>
            <w:pPr>
              <w:spacing w:after="0" w:line="259" w:lineRule="auto"/>
              <w:jc w:val="left"/>
            </w:pPr>
            <w:r>
              <w:rPr>
                <w:rFonts w:ascii="Calibri" w:hAnsi="Calibri"/>
                <w:color w:val="1B2623"/>
                <w:sz w:val="18"/>
              </w:rPr>
              <w:t>Change</w:t>
            </w:r>
          </w:p>
        </w:tc>
        <w:tc>
          <w:tcPr>
            <w:tcW w:type="dxa" w:w="7560"/>
          </w:tcPr>
          <w:p>
            <w:pPr>
              <w:spacing w:after="0" w:line="259" w:lineRule="auto"/>
              <w:jc w:val="left"/>
            </w:pPr>
            <w:r>
              <w:rPr>
                <w:rFonts w:ascii="Calibri" w:hAnsi="Calibri"/>
                <w:color w:val="1B2623"/>
                <w:sz w:val="18"/>
              </w:rPr>
              <w:t>Every family receives an evidence-bounded, context-aware operating layer after the microbiome report.</w:t>
            </w:r>
          </w:p>
        </w:tc>
      </w:tr>
      <w:tr>
        <w:tc>
          <w:tcPr>
            <w:tcW w:type="dxa" w:w="1800"/>
            <w:shd w:fill="F4F6F5"/>
          </w:tcPr>
          <w:p>
            <w:pPr>
              <w:spacing w:after="0" w:line="259" w:lineRule="auto"/>
              <w:jc w:val="left"/>
            </w:pPr>
            <w:r>
              <w:rPr>
                <w:rFonts w:ascii="Calibri" w:hAnsi="Calibri"/>
                <w:color w:val="1B2623"/>
                <w:sz w:val="18"/>
              </w:rPr>
              <w:t>Buyer</w:t>
            </w:r>
          </w:p>
        </w:tc>
        <w:tc>
          <w:tcPr>
            <w:tcW w:type="dxa" w:w="7560"/>
            <w:shd w:fill="F4F6F5"/>
          </w:tcPr>
          <w:p>
            <w:pPr>
              <w:spacing w:after="0" w:line="259" w:lineRule="auto"/>
              <w:jc w:val="left"/>
            </w:pPr>
            <w:r>
              <w:rPr>
                <w:rFonts w:ascii="Calibri" w:hAnsi="Calibri"/>
                <w:color w:val="1B2623"/>
                <w:sz w:val="18"/>
              </w:rPr>
              <w:t>Alba Health; the end user is a caregiver acting for a child or family member.</w:t>
            </w:r>
          </w:p>
        </w:tc>
      </w:tr>
      <w:tr>
        <w:tc>
          <w:tcPr>
            <w:tcW w:type="dxa" w:w="1800"/>
          </w:tcPr>
          <w:p>
            <w:pPr>
              <w:spacing w:after="0" w:line="259" w:lineRule="auto"/>
              <w:jc w:val="left"/>
            </w:pPr>
            <w:r>
              <w:rPr>
                <w:rFonts w:ascii="Calibri" w:hAnsi="Calibri"/>
                <w:color w:val="1B2623"/>
                <w:sz w:val="18"/>
              </w:rPr>
              <w:t>Job</w:t>
            </w:r>
          </w:p>
        </w:tc>
        <w:tc>
          <w:tcPr>
            <w:tcW w:type="dxa" w:w="7560"/>
          </w:tcPr>
          <w:p>
            <w:pPr>
              <w:spacing w:after="0" w:line="259" w:lineRule="auto"/>
              <w:jc w:val="left"/>
            </w:pPr>
            <w:r>
              <w:rPr>
                <w:rFonts w:ascii="Calibri" w:hAnsi="Calibri"/>
                <w:color w:val="1B2623"/>
                <w:sz w:val="18"/>
              </w:rPr>
              <w:t>Turn a complex result into safe, practical meals and routines that survive real family life.</w:t>
            </w:r>
          </w:p>
        </w:tc>
      </w:tr>
      <w:tr>
        <w:tc>
          <w:tcPr>
            <w:tcW w:type="dxa" w:w="1800"/>
            <w:shd w:fill="F4F6F5"/>
          </w:tcPr>
          <w:p>
            <w:pPr>
              <w:spacing w:after="0" w:line="259" w:lineRule="auto"/>
              <w:jc w:val="left"/>
            </w:pPr>
            <w:r>
              <w:rPr>
                <w:rFonts w:ascii="Calibri" w:hAnsi="Calibri"/>
                <w:color w:val="1B2623"/>
                <w:sz w:val="18"/>
              </w:rPr>
              <w:t>Promise</w:t>
            </w:r>
          </w:p>
        </w:tc>
        <w:tc>
          <w:tcPr>
            <w:tcW w:type="dxa" w:w="7560"/>
            <w:shd w:fill="F4F6F5"/>
          </w:tcPr>
          <w:p>
            <w:pPr>
              <w:spacing w:after="0" w:line="259" w:lineRule="auto"/>
              <w:jc w:val="left"/>
            </w:pPr>
            <w:r>
              <w:rPr>
                <w:rFonts w:ascii="Calibri" w:hAnsi="Calibri"/>
                <w:color w:val="1B2623"/>
                <w:sz w:val="18"/>
              </w:rPr>
              <w:t>Within 10 minutes of report release, create an approved first-week plan; sustain weekly learning for 90 days.</w:t>
            </w:r>
          </w:p>
        </w:tc>
      </w:tr>
      <w:tr>
        <w:tc>
          <w:tcPr>
            <w:tcW w:type="dxa" w:w="1800"/>
          </w:tcPr>
          <w:p>
            <w:pPr>
              <w:spacing w:after="0" w:line="259" w:lineRule="auto"/>
              <w:jc w:val="left"/>
            </w:pPr>
            <w:r>
              <w:rPr>
                <w:rFonts w:ascii="Calibri" w:hAnsi="Calibri"/>
                <w:color w:val="1B2623"/>
                <w:sz w:val="18"/>
              </w:rPr>
              <w:t>Mechanism</w:t>
            </w:r>
          </w:p>
        </w:tc>
        <w:tc>
          <w:tcPr>
            <w:tcW w:type="dxa" w:w="7560"/>
          </w:tcPr>
          <w:p>
            <w:pPr>
              <w:spacing w:after="0" w:line="259" w:lineRule="auto"/>
              <w:jc w:val="left"/>
            </w:pPr>
            <w:r>
              <w:rPr>
                <w:rFonts w:ascii="Calibri" w:hAnsi="Calibri"/>
                <w:color w:val="1B2623"/>
                <w:sz w:val="18"/>
              </w:rPr>
              <w:t>Structured family memory + deterministic constraints + Alba-approved evidence + bounded AI explanation.</w:t>
            </w:r>
          </w:p>
        </w:tc>
      </w:tr>
      <w:tr>
        <w:tc>
          <w:tcPr>
            <w:tcW w:type="dxa" w:w="1800"/>
            <w:shd w:fill="F4F6F5"/>
          </w:tcPr>
          <w:p>
            <w:pPr>
              <w:spacing w:after="0" w:line="259" w:lineRule="auto"/>
              <w:jc w:val="left"/>
            </w:pPr>
            <w:r>
              <w:rPr>
                <w:rFonts w:ascii="Calibri" w:hAnsi="Calibri"/>
                <w:color w:val="1B2623"/>
                <w:sz w:val="18"/>
              </w:rPr>
              <w:t>Payment event</w:t>
            </w:r>
          </w:p>
        </w:tc>
        <w:tc>
          <w:tcPr>
            <w:tcW w:type="dxa" w:w="7560"/>
            <w:shd w:fill="F4F6F5"/>
          </w:tcPr>
          <w:p>
            <w:pPr>
              <w:spacing w:after="0" w:line="259" w:lineRule="auto"/>
              <w:jc w:val="left"/>
            </w:pPr>
            <w:r>
              <w:rPr>
                <w:rFonts w:ascii="Calibri" w:hAnsi="Calibri"/>
                <w:color w:val="1B2623"/>
                <w:sz w:val="18"/>
              </w:rPr>
              <w:t>A funded design-partner pilot begins on signed SOW/DPA; production becomes a recurring platform licence after proof gates.</w:t>
            </w:r>
          </w:p>
        </w:tc>
      </w:tr>
    </w:tbl>
    <w:p>
      <w:pPr>
        <w:spacing w:line="288" w:lineRule="auto" w:before="160" w:after="200"/>
        <w:shd w:fill="F3F1E9"/>
        <w:pBdr>
          <w:left w:val="single" w:sz="18" w:space="8" w:color="D99B6C"/>
        </w:pBdr>
        <w:ind w:left="230" w:right="115"/>
      </w:pPr>
      <w:r>
        <w:rPr>
          <w:rFonts w:ascii="Calibri" w:hAnsi="Calibri"/>
          <w:b/>
          <w:color w:val="173F35"/>
          <w:sz w:val="21"/>
        </w:rPr>
        <w:t xml:space="preserve">PORTFOLIO PLACEMENT  </w:t>
      </w:r>
      <w:r>
        <w:rPr>
          <w:rFonts w:ascii="Calibri" w:hAnsi="Calibri"/>
          <w:color w:val="1B2623"/>
          <w:sz w:val="21"/>
        </w:rPr>
        <w:t>No new consumer brand or public domain. “Gut Intelligence System” is a Starlight vertical pack; “Alba Advisor” remains the customer-facing product. A private Alba deployment is justified because it has an independent security, release and regulatory boundary.</w:t>
      </w:r>
    </w:p>
    <w:p>
      <w:r>
        <w:br w:type="page"/>
      </w:r>
    </w:p>
    <w:p>
      <w:pPr>
        <w:pStyle w:val="Heading1"/>
      </w:pPr>
      <w:r>
        <w:t>2. Nora Cavani and the Alba business</w:t>
      </w:r>
    </w:p>
    <w:p>
      <w:r>
        <w:rPr>
          <w:rFonts w:ascii="Calibri" w:hAnsi="Calibri"/>
          <w:color w:val="1B2623"/>
        </w:rPr>
        <w:t>Nora Cavani is Alba Health’s founder and CEO, with training in biotechnology and pharmaceutical engineering, prior digital-health work at Boston Consulting Group, and a founder story rooted in her experience with severe eczema and allergies. She co-founded Alba with microbiome scientist Professor Willem M. de Vos. The business is positioned as preventive family wellness, not diagnosis or treatment.[1][2][3]</w:t>
      </w:r>
    </w:p>
    <w:p>
      <w:pPr>
        <w:pStyle w:val="Heading2"/>
      </w:pPr>
      <w:r>
        <w:t>What Alba already sells</w:t>
      </w:r>
    </w:p>
    <w:tbl>
      <w:tblPr>
        <w:tblW w:type="dxa" w:w="9360"/>
        <w:jc w:val="left"/>
        <w:tblLayout w:type="fixed"/>
        <w:tblLook w:firstColumn="1" w:firstRow="1" w:lastColumn="0" w:lastRow="0" w:noHBand="0" w:noVBand="1" w:val="04A0"/>
        <w:tblInd w:w="120" w:type="dxa"/>
        <w:tblBorders>
          <w:top w:val="single" w:sz="5" w:space="0" w:color="D8DEDB"/>
          <w:left w:val="single" w:sz="5" w:space="0" w:color="D8DEDB"/>
          <w:bottom w:val="single" w:sz="5" w:space="0" w:color="D8DEDB"/>
          <w:right w:val="single" w:sz="5" w:space="0" w:color="D8DEDB"/>
          <w:insideH w:val="single" w:sz="5" w:space="0" w:color="D8DEDB"/>
          <w:insideV w:val="single" w:sz="5" w:space="0" w:color="D8DEDB"/>
        </w:tblBorders>
      </w:tblPr>
      <w:tblGrid>
        <w:gridCol w:w="1500"/>
        <w:gridCol w:w="3900"/>
        <w:gridCol w:w="3960"/>
      </w:tblGrid>
      <w:tr>
        <w:trPr>
          <w:tblHeader/>
        </w:trPr>
        <w:tc>
          <w:tcPr>
            <w:tcW w:type="dxa" w:w="15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Layer</w:t>
            </w:r>
          </w:p>
        </w:tc>
        <w:tc>
          <w:tcPr>
            <w:tcW w:type="dxa" w:w="39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Current product evidence</w:t>
            </w:r>
          </w:p>
        </w:tc>
        <w:tc>
          <w:tcPr>
            <w:tcW w:type="dxa" w:w="396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Strategic implication</w:t>
            </w:r>
          </w:p>
        </w:tc>
      </w:tr>
      <w:tr>
        <w:tc>
          <w:tcPr>
            <w:tcW w:type="dxa" w:w="1500"/>
          </w:tcPr>
          <w:p>
            <w:pPr>
              <w:spacing w:after="0" w:line="259" w:lineRule="auto"/>
              <w:jc w:val="left"/>
            </w:pPr>
            <w:r>
              <w:rPr>
                <w:rFonts w:ascii="Calibri" w:hAnsi="Calibri"/>
                <w:color w:val="1B2623"/>
                <w:sz w:val="17"/>
              </w:rPr>
              <w:t>Acquisition</w:t>
            </w:r>
          </w:p>
        </w:tc>
        <w:tc>
          <w:tcPr>
            <w:tcW w:type="dxa" w:w="3900"/>
          </w:tcPr>
          <w:p>
            <w:pPr>
              <w:spacing w:after="0" w:line="259" w:lineRule="auto"/>
              <w:jc w:val="left"/>
            </w:pPr>
            <w:r>
              <w:rPr>
                <w:rFonts w:ascii="Calibri" w:hAnsi="Calibri"/>
                <w:color w:val="1B2623"/>
                <w:sz w:val="17"/>
              </w:rPr>
              <w:t>40,000+ mini-series sign-ups; webinars, podcast/radio, Instagram education.[4][5]</w:t>
            </w:r>
          </w:p>
        </w:tc>
        <w:tc>
          <w:tcPr>
            <w:tcW w:type="dxa" w:w="3960"/>
          </w:tcPr>
          <w:p>
            <w:pPr>
              <w:spacing w:after="0" w:line="259" w:lineRule="auto"/>
              <w:jc w:val="left"/>
            </w:pPr>
            <w:r>
              <w:rPr>
                <w:rFonts w:ascii="Calibri" w:hAnsi="Calibri"/>
                <w:color w:val="1B2623"/>
                <w:sz w:val="17"/>
              </w:rPr>
              <w:t>Education already converts attention into high-intent parent demand.</w:t>
            </w:r>
          </w:p>
        </w:tc>
      </w:tr>
      <w:tr>
        <w:tc>
          <w:tcPr>
            <w:tcW w:type="dxa" w:w="1500"/>
            <w:shd w:fill="F4F6F5"/>
          </w:tcPr>
          <w:p>
            <w:pPr>
              <w:spacing w:after="0" w:line="259" w:lineRule="auto"/>
              <w:jc w:val="left"/>
            </w:pPr>
            <w:r>
              <w:rPr>
                <w:rFonts w:ascii="Calibri" w:hAnsi="Calibri"/>
                <w:color w:val="1B2623"/>
                <w:sz w:val="17"/>
              </w:rPr>
              <w:t>Core product</w:t>
            </w:r>
          </w:p>
        </w:tc>
        <w:tc>
          <w:tcPr>
            <w:tcW w:type="dxa" w:w="3900"/>
            <w:shd w:fill="F4F6F5"/>
          </w:tcPr>
          <w:p>
            <w:pPr>
              <w:spacing w:after="0" w:line="259" w:lineRule="auto"/>
              <w:jc w:val="left"/>
            </w:pPr>
            <w:r>
              <w:rPr>
                <w:rFonts w:ascii="Calibri" w:hAnsi="Calibri"/>
                <w:color w:val="1B2623"/>
                <w:sz w:val="17"/>
              </w:rPr>
              <w:t>At-home stool test, app report, action plan, 30-minute nutrition consultation, retest path.[6]</w:t>
            </w:r>
          </w:p>
        </w:tc>
        <w:tc>
          <w:tcPr>
            <w:tcW w:type="dxa" w:w="3960"/>
            <w:shd w:fill="F4F6F5"/>
          </w:tcPr>
          <w:p>
            <w:pPr>
              <w:spacing w:after="0" w:line="259" w:lineRule="auto"/>
              <w:jc w:val="left"/>
            </w:pPr>
            <w:r>
              <w:rPr>
                <w:rFonts w:ascii="Calibri" w:hAnsi="Calibri"/>
                <w:color w:val="1B2623"/>
                <w:sz w:val="17"/>
              </w:rPr>
              <w:t>The test is the paid activation event and proprietary data source.</w:t>
            </w:r>
          </w:p>
        </w:tc>
      </w:tr>
      <w:tr>
        <w:tc>
          <w:tcPr>
            <w:tcW w:type="dxa" w:w="1500"/>
          </w:tcPr>
          <w:p>
            <w:pPr>
              <w:spacing w:after="0" w:line="259" w:lineRule="auto"/>
              <w:jc w:val="left"/>
            </w:pPr>
            <w:r>
              <w:rPr>
                <w:rFonts w:ascii="Calibri" w:hAnsi="Calibri"/>
                <w:color w:val="1B2623"/>
                <w:sz w:val="17"/>
              </w:rPr>
              <w:t>Advisor</w:t>
            </w:r>
          </w:p>
        </w:tc>
        <w:tc>
          <w:tcPr>
            <w:tcW w:type="dxa" w:w="3900"/>
          </w:tcPr>
          <w:p>
            <w:pPr>
              <w:spacing w:after="0" w:line="259" w:lineRule="auto"/>
              <w:jc w:val="left"/>
            </w:pPr>
            <w:r>
              <w:rPr>
                <w:rFonts w:ascii="Calibri" w:hAnsi="Calibri"/>
                <w:color w:val="1B2623"/>
                <w:sz w:val="17"/>
              </w:rPr>
              <w:t>12 months of meal plans, shopping lists, food/menu/meal/care-product scanning and chat support.[6][7]</w:t>
            </w:r>
          </w:p>
        </w:tc>
        <w:tc>
          <w:tcPr>
            <w:tcW w:type="dxa" w:w="3960"/>
          </w:tcPr>
          <w:p>
            <w:pPr>
              <w:spacing w:after="0" w:line="259" w:lineRule="auto"/>
              <w:jc w:val="left"/>
            </w:pPr>
            <w:r>
              <w:rPr>
                <w:rFonts w:ascii="Calibri" w:hAnsi="Calibri"/>
                <w:color w:val="1B2623"/>
                <w:sz w:val="17"/>
              </w:rPr>
              <w:t>Do not pitch generic AI features that Alba already claims.</w:t>
            </w:r>
          </w:p>
        </w:tc>
      </w:tr>
      <w:tr>
        <w:tc>
          <w:tcPr>
            <w:tcW w:type="dxa" w:w="1500"/>
            <w:shd w:fill="F4F6F5"/>
          </w:tcPr>
          <w:p>
            <w:pPr>
              <w:spacing w:after="0" w:line="259" w:lineRule="auto"/>
              <w:jc w:val="left"/>
            </w:pPr>
            <w:r>
              <w:rPr>
                <w:rFonts w:ascii="Calibri" w:hAnsi="Calibri"/>
                <w:color w:val="1B2623"/>
                <w:sz w:val="17"/>
              </w:rPr>
              <w:t>Research</w:t>
            </w:r>
          </w:p>
        </w:tc>
        <w:tc>
          <w:tcPr>
            <w:tcW w:type="dxa" w:w="3900"/>
            <w:shd w:fill="F4F6F5"/>
          </w:tcPr>
          <w:p>
            <w:pPr>
              <w:spacing w:after="0" w:line="259" w:lineRule="auto"/>
              <w:jc w:val="left"/>
            </w:pPr>
            <w:r>
              <w:rPr>
                <w:rFonts w:ascii="Calibri" w:hAnsi="Calibri"/>
                <w:color w:val="1B2623"/>
                <w:sz w:val="17"/>
              </w:rPr>
              <w:t>PREVENT follows 300+ Swedish families; Alba cites 1,600+ team publications.[2][8]</w:t>
            </w:r>
          </w:p>
        </w:tc>
        <w:tc>
          <w:tcPr>
            <w:tcW w:type="dxa" w:w="3960"/>
            <w:shd w:fill="F4F6F5"/>
          </w:tcPr>
          <w:p>
            <w:pPr>
              <w:spacing w:after="0" w:line="259" w:lineRule="auto"/>
              <w:jc w:val="left"/>
            </w:pPr>
            <w:r>
              <w:rPr>
                <w:rFonts w:ascii="Calibri" w:hAnsi="Calibri"/>
                <w:color w:val="1B2623"/>
                <w:sz w:val="17"/>
              </w:rPr>
              <w:t>Alba’s moat is the evidence/data loop, not a chatbot.</w:t>
            </w:r>
          </w:p>
        </w:tc>
      </w:tr>
      <w:tr>
        <w:tc>
          <w:tcPr>
            <w:tcW w:type="dxa" w:w="1500"/>
          </w:tcPr>
          <w:p>
            <w:pPr>
              <w:spacing w:after="0" w:line="259" w:lineRule="auto"/>
              <w:jc w:val="left"/>
            </w:pPr>
            <w:r>
              <w:rPr>
                <w:rFonts w:ascii="Calibri" w:hAnsi="Calibri"/>
                <w:color w:val="1B2623"/>
                <w:sz w:val="17"/>
              </w:rPr>
              <w:t>Traction</w:t>
            </w:r>
          </w:p>
        </w:tc>
        <w:tc>
          <w:tcPr>
            <w:tcW w:type="dxa" w:w="3900"/>
          </w:tcPr>
          <w:p>
            <w:pPr>
              <w:spacing w:after="0" w:line="259" w:lineRule="auto"/>
              <w:jc w:val="left"/>
            </w:pPr>
            <w:r>
              <w:rPr>
                <w:rFonts w:ascii="Calibri" w:hAnsi="Calibri"/>
                <w:color w:val="1B2623"/>
                <w:sz w:val="17"/>
              </w:rPr>
              <w:t>Nora reports 8x growth, a 20,000-person community and two million monthly Instagram reach.[5]</w:t>
            </w:r>
          </w:p>
        </w:tc>
        <w:tc>
          <w:tcPr>
            <w:tcW w:type="dxa" w:w="3960"/>
          </w:tcPr>
          <w:p>
            <w:pPr>
              <w:spacing w:after="0" w:line="259" w:lineRule="auto"/>
              <w:jc w:val="left"/>
            </w:pPr>
            <w:r>
              <w:rPr>
                <w:rFonts w:ascii="Calibri" w:hAnsi="Calibri"/>
                <w:color w:val="1B2623"/>
                <w:sz w:val="17"/>
              </w:rPr>
              <w:t>Distribution risk is unusually low for a design partnership.</w:t>
            </w:r>
          </w:p>
        </w:tc>
      </w:tr>
    </w:tbl>
    <w:p>
      <w:pPr>
        <w:pStyle w:val="Heading2"/>
      </w:pPr>
      <w:r>
        <w:t>The constraint hiding inside the success</w:t>
      </w:r>
    </w:p>
    <w:p>
      <w:r>
        <w:rPr>
          <w:rFonts w:ascii="Calibri" w:hAnsi="Calibri"/>
          <w:color w:val="1B2623"/>
        </w:rPr>
        <w:t>The Advisor’s public feature surface is broad. That increases the need for a hidden operating layer that can explain exactly which data, rule, evidence release, safety gate and human escalation produced each response. Recent public reviews are predominantly positive, but the negative cases concentrate around unmet expectations, response delays, test limitations and advice safety—the precise failure modes a governed journey must absorb.[9]</w:t>
      </w:r>
    </w:p>
    <w:p>
      <w:pPr>
        <w:spacing w:line="288" w:lineRule="auto" w:before="160" w:after="200"/>
        <w:shd w:fill="DDE9E1"/>
        <w:pBdr>
          <w:left w:val="single" w:sz="18" w:space="8" w:color="9BB7A5"/>
        </w:pBdr>
        <w:ind w:left="230" w:right="115"/>
      </w:pPr>
      <w:r>
        <w:rPr>
          <w:rFonts w:ascii="Calibri" w:hAnsi="Calibri"/>
          <w:b/>
          <w:color w:val="173F35"/>
          <w:sz w:val="21"/>
        </w:rPr>
        <w:t xml:space="preserve">PARTNER POSITIONING  </w:t>
      </w:r>
      <w:r>
        <w:rPr>
          <w:rFonts w:ascii="Calibri" w:hAnsi="Calibri"/>
          <w:color w:val="1B2623"/>
          <w:sz w:val="21"/>
        </w:rPr>
        <w:t>Nora is unlikely to respond to “we can build an AI meal planner.” She is already building one. The credible proposition is: make Alba Advisor auditable, safer, longitudinal, coach-amplifying and ready to learn from outcomes without mixing family data.</w:t>
      </w:r>
    </w:p>
    <w:p>
      <w:r>
        <w:br w:type="page"/>
      </w:r>
    </w:p>
    <w:p>
      <w:pPr>
        <w:pStyle w:val="Heading1"/>
      </w:pPr>
      <w:r>
        <w:t>3. The parent journey</w:t>
      </w:r>
    </w:p>
    <w:p>
      <w:pPr>
        <w:spacing w:before="100" w:after="0"/>
        <w:jc w:val="center"/>
      </w:pPr>
      <w:r>
        <w:drawing>
          <wp:inline xmlns:a="http://schemas.openxmlformats.org/drawingml/2006/main" xmlns:pic="http://schemas.openxmlformats.org/drawingml/2006/picture">
            <wp:extent cx="5806440" cy="1981344"/>
            <wp:docPr id="1" name="Picture 1" title="Parent Journey" descr="Figure 1. One continuous loop replaces a result PDF plus disconnected chat interactions."/>
            <wp:cNvGraphicFramePr>
              <a:graphicFrameLocks noChangeAspect="1"/>
            </wp:cNvGraphicFramePr>
            <a:graphic>
              <a:graphicData uri="http://schemas.openxmlformats.org/drawingml/2006/picture">
                <pic:pic>
                  <pic:nvPicPr>
                    <pic:cNvPr id="0" name="parent-journey.png"/>
                    <pic:cNvPicPr/>
                  </pic:nvPicPr>
                  <pic:blipFill>
                    <a:blip r:embed="rId11"/>
                    <a:stretch>
                      <a:fillRect/>
                    </a:stretch>
                  </pic:blipFill>
                  <pic:spPr>
                    <a:xfrm>
                      <a:off x="0" y="0"/>
                      <a:ext cx="5806440" cy="1981344"/>
                    </a:xfrm>
                    <a:prstGeom prst="rect"/>
                  </pic:spPr>
                </pic:pic>
              </a:graphicData>
            </a:graphic>
          </wp:inline>
        </w:drawing>
      </w:r>
    </w:p>
    <w:p>
      <w:pPr>
        <w:pStyle w:val="Caption"/>
        <w:keepNext w:val="0"/>
      </w:pPr>
      <w:r>
        <w:t>Figure 1. One continuous loop replaces a result PDF plus disconnected chat interactions.</w:t>
      </w:r>
    </w:p>
    <w:p>
      <w:r>
        <w:rPr>
          <w:rFonts w:ascii="Calibri" w:hAnsi="Calibri"/>
          <w:color w:val="1B2623"/>
        </w:rPr>
        <w:t>The critical moment of value is not “the report arrived.” It is “this family knows what to prepare this week, why it is compatible with their constraints, what uncertainty remains, and when a human should take over.”</w:t>
      </w:r>
    </w:p>
    <w:tbl>
      <w:tblPr>
        <w:tblW w:type="dxa" w:w="9360"/>
        <w:jc w:val="left"/>
        <w:tblLayout w:type="fixed"/>
        <w:tblLook w:firstColumn="1" w:firstRow="1" w:lastColumn="0" w:lastRow="0" w:noHBand="0" w:noVBand="1" w:val="04A0"/>
        <w:tblInd w:w="120" w:type="dxa"/>
        <w:tblBorders>
          <w:top w:val="single" w:sz="5" w:space="0" w:color="D8DEDB"/>
          <w:left w:val="single" w:sz="5" w:space="0" w:color="D8DEDB"/>
          <w:bottom w:val="single" w:sz="5" w:space="0" w:color="D8DEDB"/>
          <w:right w:val="single" w:sz="5" w:space="0" w:color="D8DEDB"/>
          <w:insideH w:val="single" w:sz="5" w:space="0" w:color="D8DEDB"/>
          <w:insideV w:val="single" w:sz="5" w:space="0" w:color="D8DEDB"/>
        </w:tblBorders>
      </w:tblPr>
      <w:tblGrid>
        <w:gridCol w:w="1300"/>
        <w:gridCol w:w="4700"/>
        <w:gridCol w:w="3360"/>
      </w:tblGrid>
      <w:tr>
        <w:trPr>
          <w:tblHeader/>
        </w:trPr>
        <w:tc>
          <w:tcPr>
            <w:tcW w:type="dxa" w:w="13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Stage</w:t>
            </w:r>
          </w:p>
        </w:tc>
        <w:tc>
          <w:tcPr>
            <w:tcW w:type="dxa" w:w="47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Parent experience</w:t>
            </w:r>
          </w:p>
        </w:tc>
        <w:tc>
          <w:tcPr>
            <w:tcW w:type="dxa" w:w="336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System receipt</w:t>
            </w:r>
          </w:p>
        </w:tc>
      </w:tr>
      <w:tr>
        <w:tc>
          <w:tcPr>
            <w:tcW w:type="dxa" w:w="1300"/>
          </w:tcPr>
          <w:p>
            <w:pPr>
              <w:spacing w:after="0" w:line="259" w:lineRule="auto"/>
              <w:jc w:val="left"/>
            </w:pPr>
            <w:r>
              <w:rPr>
                <w:rFonts w:ascii="Calibri" w:hAnsi="Calibri"/>
                <w:color w:val="1B2623"/>
                <w:sz w:val="17"/>
              </w:rPr>
              <w:t>Understand</w:t>
            </w:r>
          </w:p>
        </w:tc>
        <w:tc>
          <w:tcPr>
            <w:tcW w:type="dxa" w:w="4700"/>
          </w:tcPr>
          <w:p>
            <w:pPr>
              <w:spacing w:after="0" w:line="259" w:lineRule="auto"/>
              <w:jc w:val="left"/>
            </w:pPr>
            <w:r>
              <w:rPr>
                <w:rFonts w:ascii="Calibri" w:hAnsi="Calibri"/>
                <w:color w:val="1B2623"/>
                <w:sz w:val="17"/>
              </w:rPr>
              <w:t>No-data education; clarify what Alba can and cannot tell them.</w:t>
            </w:r>
          </w:p>
        </w:tc>
        <w:tc>
          <w:tcPr>
            <w:tcW w:type="dxa" w:w="3360"/>
          </w:tcPr>
          <w:p>
            <w:pPr>
              <w:spacing w:after="0" w:line="259" w:lineRule="auto"/>
              <w:jc w:val="left"/>
            </w:pPr>
            <w:r>
              <w:rPr>
                <w:rFonts w:ascii="Calibri" w:hAnsi="Calibri"/>
                <w:color w:val="1B2623"/>
                <w:sz w:val="17"/>
              </w:rPr>
              <w:t>Consent intent, no health profile.</w:t>
            </w:r>
          </w:p>
        </w:tc>
      </w:tr>
      <w:tr>
        <w:tc>
          <w:tcPr>
            <w:tcW w:type="dxa" w:w="1300"/>
            <w:shd w:fill="F4F6F5"/>
          </w:tcPr>
          <w:p>
            <w:pPr>
              <w:spacing w:after="0" w:line="259" w:lineRule="auto"/>
              <w:jc w:val="left"/>
            </w:pPr>
            <w:r>
              <w:rPr>
                <w:rFonts w:ascii="Calibri" w:hAnsi="Calibri"/>
                <w:color w:val="1B2623"/>
                <w:sz w:val="17"/>
              </w:rPr>
              <w:t>Test</w:t>
            </w:r>
          </w:p>
        </w:tc>
        <w:tc>
          <w:tcPr>
            <w:tcW w:type="dxa" w:w="4700"/>
            <w:shd w:fill="F4F6F5"/>
          </w:tcPr>
          <w:p>
            <w:pPr>
              <w:spacing w:after="0" w:line="259" w:lineRule="auto"/>
              <w:jc w:val="left"/>
            </w:pPr>
            <w:r>
              <w:rPr>
                <w:rFonts w:ascii="Calibri" w:hAnsi="Calibri"/>
                <w:color w:val="1B2623"/>
                <w:sz w:val="17"/>
              </w:rPr>
              <w:t>Sample workflow plus structured diet, allergy, age, routine and household intake.</w:t>
            </w:r>
          </w:p>
        </w:tc>
        <w:tc>
          <w:tcPr>
            <w:tcW w:type="dxa" w:w="3360"/>
            <w:shd w:fill="F4F6F5"/>
          </w:tcPr>
          <w:p>
            <w:pPr>
              <w:spacing w:after="0" w:line="259" w:lineRule="auto"/>
              <w:jc w:val="left"/>
            </w:pPr>
            <w:r>
              <w:rPr>
                <w:rFonts w:ascii="Calibri" w:hAnsi="Calibri"/>
                <w:color w:val="1B2623"/>
                <w:sz w:val="17"/>
              </w:rPr>
              <w:t>Versioned intake + guardian authority.</w:t>
            </w:r>
          </w:p>
        </w:tc>
      </w:tr>
      <w:tr>
        <w:tc>
          <w:tcPr>
            <w:tcW w:type="dxa" w:w="1300"/>
          </w:tcPr>
          <w:p>
            <w:pPr>
              <w:spacing w:after="0" w:line="259" w:lineRule="auto"/>
              <w:jc w:val="left"/>
            </w:pPr>
            <w:r>
              <w:rPr>
                <w:rFonts w:ascii="Calibri" w:hAnsi="Calibri"/>
                <w:color w:val="1B2623"/>
                <w:sz w:val="17"/>
              </w:rPr>
              <w:t>Translate</w:t>
            </w:r>
          </w:p>
        </w:tc>
        <w:tc>
          <w:tcPr>
            <w:tcW w:type="dxa" w:w="4700"/>
          </w:tcPr>
          <w:p>
            <w:pPr>
              <w:spacing w:after="0" w:line="259" w:lineRule="auto"/>
              <w:jc w:val="left"/>
            </w:pPr>
            <w:r>
              <w:rPr>
                <w:rFonts w:ascii="Calibri" w:hAnsi="Calibri"/>
                <w:color w:val="1B2623"/>
                <w:sz w:val="17"/>
              </w:rPr>
              <w:t>Plain-language result with confidence and limits separated from action.</w:t>
            </w:r>
          </w:p>
        </w:tc>
        <w:tc>
          <w:tcPr>
            <w:tcW w:type="dxa" w:w="3360"/>
          </w:tcPr>
          <w:p>
            <w:pPr>
              <w:spacing w:after="0" w:line="259" w:lineRule="auto"/>
              <w:jc w:val="left"/>
            </w:pPr>
            <w:r>
              <w:rPr>
                <w:rFonts w:ascii="Calibri" w:hAnsi="Calibri"/>
                <w:color w:val="1B2623"/>
                <w:sz w:val="17"/>
              </w:rPr>
              <w:t>Result snapshot + evidence/policy versions.</w:t>
            </w:r>
          </w:p>
        </w:tc>
      </w:tr>
      <w:tr>
        <w:tc>
          <w:tcPr>
            <w:tcW w:type="dxa" w:w="1300"/>
            <w:shd w:fill="F4F6F5"/>
          </w:tcPr>
          <w:p>
            <w:pPr>
              <w:spacing w:after="0" w:line="259" w:lineRule="auto"/>
              <w:jc w:val="left"/>
            </w:pPr>
            <w:r>
              <w:rPr>
                <w:rFonts w:ascii="Calibri" w:hAnsi="Calibri"/>
                <w:color w:val="1B2623"/>
                <w:sz w:val="17"/>
              </w:rPr>
              <w:t>Act</w:t>
            </w:r>
          </w:p>
        </w:tc>
        <w:tc>
          <w:tcPr>
            <w:tcW w:type="dxa" w:w="4700"/>
            <w:shd w:fill="F4F6F5"/>
          </w:tcPr>
          <w:p>
            <w:pPr>
              <w:spacing w:after="0" w:line="259" w:lineRule="auto"/>
              <w:jc w:val="left"/>
            </w:pPr>
            <w:r>
              <w:rPr>
                <w:rFonts w:ascii="Calibri" w:hAnsi="Calibri"/>
                <w:color w:val="1B2623"/>
                <w:sz w:val="17"/>
              </w:rPr>
              <w:t>7-day plan, grocery list, preparation sequence, substitutions and school/travel variants.</w:t>
            </w:r>
          </w:p>
        </w:tc>
        <w:tc>
          <w:tcPr>
            <w:tcW w:type="dxa" w:w="3360"/>
            <w:shd w:fill="F4F6F5"/>
          </w:tcPr>
          <w:p>
            <w:pPr>
              <w:spacing w:after="0" w:line="259" w:lineRule="auto"/>
              <w:jc w:val="left"/>
            </w:pPr>
            <w:r>
              <w:rPr>
                <w:rFonts w:ascii="Calibri" w:hAnsi="Calibri"/>
                <w:color w:val="1B2623"/>
                <w:sz w:val="17"/>
              </w:rPr>
              <w:t>Constraint-checked plan receipt.</w:t>
            </w:r>
          </w:p>
        </w:tc>
      </w:tr>
      <w:tr>
        <w:tc>
          <w:tcPr>
            <w:tcW w:type="dxa" w:w="1300"/>
          </w:tcPr>
          <w:p>
            <w:pPr>
              <w:spacing w:after="0" w:line="259" w:lineRule="auto"/>
              <w:jc w:val="left"/>
            </w:pPr>
            <w:r>
              <w:rPr>
                <w:rFonts w:ascii="Calibri" w:hAnsi="Calibri"/>
                <w:color w:val="1B2623"/>
                <w:sz w:val="17"/>
              </w:rPr>
              <w:t>Learn</w:t>
            </w:r>
          </w:p>
        </w:tc>
        <w:tc>
          <w:tcPr>
            <w:tcW w:type="dxa" w:w="4700"/>
          </w:tcPr>
          <w:p>
            <w:pPr>
              <w:spacing w:after="0" w:line="259" w:lineRule="auto"/>
              <w:jc w:val="left"/>
            </w:pPr>
            <w:r>
              <w:rPr>
                <w:rFonts w:ascii="Calibri" w:hAnsi="Calibri"/>
                <w:color w:val="1B2623"/>
                <w:sz w:val="17"/>
              </w:rPr>
              <w:t>Weekly check-in, meal observations, barriers and coach escalation.</w:t>
            </w:r>
          </w:p>
        </w:tc>
        <w:tc>
          <w:tcPr>
            <w:tcW w:type="dxa" w:w="3360"/>
          </w:tcPr>
          <w:p>
            <w:pPr>
              <w:spacing w:after="0" w:line="259" w:lineRule="auto"/>
              <w:jc w:val="left"/>
            </w:pPr>
            <w:r>
              <w:rPr>
                <w:rFonts w:ascii="Calibri" w:hAnsi="Calibri"/>
                <w:color w:val="1B2623"/>
                <w:sz w:val="17"/>
              </w:rPr>
              <w:t>Event log + reviewed plan changes.</w:t>
            </w:r>
          </w:p>
        </w:tc>
      </w:tr>
      <w:tr>
        <w:tc>
          <w:tcPr>
            <w:tcW w:type="dxa" w:w="1300"/>
            <w:shd w:fill="F4F6F5"/>
          </w:tcPr>
          <w:p>
            <w:pPr>
              <w:spacing w:after="0" w:line="259" w:lineRule="auto"/>
              <w:jc w:val="left"/>
            </w:pPr>
            <w:r>
              <w:rPr>
                <w:rFonts w:ascii="Calibri" w:hAnsi="Calibri"/>
                <w:color w:val="1B2623"/>
                <w:sz w:val="17"/>
              </w:rPr>
              <w:t>Retest</w:t>
            </w:r>
          </w:p>
        </w:tc>
        <w:tc>
          <w:tcPr>
            <w:tcW w:type="dxa" w:w="4700"/>
            <w:shd w:fill="F4F6F5"/>
          </w:tcPr>
          <w:p>
            <w:pPr>
              <w:spacing w:after="0" w:line="259" w:lineRule="auto"/>
              <w:jc w:val="left"/>
            </w:pPr>
            <w:r>
              <w:rPr>
                <w:rFonts w:ascii="Calibri" w:hAnsi="Calibri"/>
                <w:color w:val="1B2623"/>
                <w:sz w:val="17"/>
              </w:rPr>
              <w:t>Compare snapshots without overclaiming causality; decide next experiment.</w:t>
            </w:r>
          </w:p>
        </w:tc>
        <w:tc>
          <w:tcPr>
            <w:tcW w:type="dxa" w:w="3360"/>
            <w:shd w:fill="F4F6F5"/>
          </w:tcPr>
          <w:p>
            <w:pPr>
              <w:spacing w:after="0" w:line="259" w:lineRule="auto"/>
              <w:jc w:val="left"/>
            </w:pPr>
            <w:r>
              <w:rPr>
                <w:rFonts w:ascii="Calibri" w:hAnsi="Calibri"/>
                <w:color w:val="1B2623"/>
                <w:sz w:val="17"/>
              </w:rPr>
              <w:t>Longitudinal comparison + human-reviewed next step.</w:t>
            </w:r>
          </w:p>
        </w:tc>
      </w:tr>
    </w:tbl>
    <w:p>
      <w:pPr>
        <w:spacing w:line="288" w:lineRule="auto" w:before="160" w:after="200"/>
        <w:shd w:fill="F3F1E9"/>
        <w:pBdr>
          <w:left w:val="single" w:sz="18" w:space="8" w:color="D99B6C"/>
        </w:pBdr>
        <w:ind w:left="230" w:right="115"/>
      </w:pPr>
      <w:r>
        <w:rPr>
          <w:rFonts w:ascii="Calibri" w:hAnsi="Calibri"/>
          <w:b/>
          <w:color w:val="173F35"/>
          <w:sz w:val="21"/>
        </w:rPr>
        <w:t xml:space="preserve">DESIGN RULE  </w:t>
      </w:r>
      <w:r>
        <w:rPr>
          <w:rFonts w:ascii="Calibri" w:hAnsi="Calibri"/>
          <w:color w:val="1B2623"/>
          <w:sz w:val="21"/>
        </w:rPr>
        <w:t>The parent should see one calm guide. Internally, every output is decomposed into approved knowledge, household constraints, a bounded skill, a policy decision, provenance and a confidence label.</w:t>
      </w:r>
    </w:p>
    <w:p>
      <w:r>
        <w:br w:type="page"/>
      </w:r>
    </w:p>
    <w:p>
      <w:pPr>
        <w:pStyle w:val="Heading1"/>
      </w:pPr>
      <w:r>
        <w:t>4. System architecture</w:t>
      </w:r>
    </w:p>
    <w:p>
      <w:pPr>
        <w:spacing w:before="100" w:after="0"/>
        <w:jc w:val="center"/>
      </w:pPr>
      <w:r>
        <w:drawing>
          <wp:inline xmlns:a="http://schemas.openxmlformats.org/drawingml/2006/main" xmlns:pic="http://schemas.openxmlformats.org/drawingml/2006/picture">
            <wp:extent cx="5440680" cy="2824653"/>
            <wp:docPr id="2" name="Picture 2" title="Architecture" descr="Figure 2. Starlight compiles and proves the capability; Alba owns the experience, health data, scientific interpretation and human support."/>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440680" cy="2824653"/>
                    </a:xfrm>
                    <a:prstGeom prst="rect"/>
                  </pic:spPr>
                </pic:pic>
              </a:graphicData>
            </a:graphic>
          </wp:inline>
        </w:drawing>
      </w:r>
    </w:p>
    <w:p>
      <w:pPr>
        <w:pStyle w:val="Caption"/>
        <w:keepNext w:val="0"/>
      </w:pPr>
      <w:r>
        <w:t>Figure 2. Starlight compiles and proves the capability; Alba owns the experience, health data, scientific interpretation and human support.</w:t>
      </w:r>
    </w:p>
    <w:p>
      <w:pPr>
        <w:pStyle w:val="Heading2"/>
      </w:pPr>
      <w:r>
        <w:t>Hybrid intelligence, not an unconstrained health chatbot</w:t>
      </w:r>
    </w:p>
    <w:p>
      <w:pPr>
        <w:pStyle w:val="ListBullet"/>
        <w:jc w:val="left"/>
      </w:pPr>
      <w:r>
        <w:rPr>
          <w:rFonts w:ascii="Calibri" w:hAnsi="Calibri"/>
          <w:color w:val="1B2623"/>
          <w:sz w:val="21"/>
        </w:rPr>
        <w:t>Alba’s validated microbiome-to-recommendation mapper produces approved intervention candidates; the language model never infers clinical meaning from raw taxa.</w:t>
      </w:r>
    </w:p>
    <w:p>
      <w:pPr>
        <w:pStyle w:val="ListBullet"/>
        <w:jc w:val="left"/>
      </w:pPr>
      <w:r>
        <w:rPr>
          <w:rFonts w:ascii="Calibri" w:hAnsi="Calibri"/>
          <w:color w:val="1B2623"/>
          <w:sz w:val="21"/>
        </w:rPr>
        <w:t>A deterministic constraint engine blocks age-inappropriate items, declared allergens, diet conflicts, unavailable foods and coach-authored exclusions before generation.</w:t>
      </w:r>
    </w:p>
    <w:p>
      <w:pPr>
        <w:pStyle w:val="ListBullet"/>
        <w:jc w:val="left"/>
      </w:pPr>
      <w:r>
        <w:rPr>
          <w:rFonts w:ascii="Calibri" w:hAnsi="Calibri"/>
          <w:color w:val="1B2623"/>
          <w:sz w:val="21"/>
        </w:rPr>
        <w:t>The meal composer selects from approved foods, recipes and substitutions; the model may explain, sequence and personalize presentation inside those bounds.</w:t>
      </w:r>
    </w:p>
    <w:p>
      <w:pPr>
        <w:pStyle w:val="ListBullet"/>
        <w:jc w:val="left"/>
      </w:pPr>
      <w:r>
        <w:rPr>
          <w:rFonts w:ascii="Calibri" w:hAnsi="Calibri"/>
          <w:color w:val="1B2623"/>
          <w:sz w:val="21"/>
        </w:rPr>
        <w:t>The evidence and claims guardian attaches source, population, age range, evidence grade, limitations, review date and permitted wording to every material claim.</w:t>
      </w:r>
    </w:p>
    <w:p>
      <w:pPr>
        <w:pStyle w:val="ListBullet"/>
        <w:jc w:val="left"/>
      </w:pPr>
      <w:r>
        <w:rPr>
          <w:rFonts w:ascii="Calibri" w:hAnsi="Calibri"/>
          <w:color w:val="1B2623"/>
          <w:sz w:val="21"/>
        </w:rPr>
        <w:t>The safety router uses approved static escalation language. It does not diagnose, reassure or decide urgency.</w:t>
      </w:r>
    </w:p>
    <w:p>
      <w:pPr>
        <w:pStyle w:val="ListBullet"/>
        <w:jc w:val="left"/>
      </w:pPr>
      <w:r>
        <w:rPr>
          <w:rFonts w:ascii="Calibri" w:hAnsi="Calibri"/>
          <w:color w:val="1B2623"/>
          <w:sz w:val="21"/>
        </w:rPr>
        <w:t>The Starlight Proving Ground runs privacy, boundary, factual, taste, latency, cost and drift evaluations before a capability release.</w:t>
      </w:r>
    </w:p>
    <w:p>
      <w:pPr>
        <w:pStyle w:val="Heading2"/>
      </w:pPr>
      <w:r>
        <w:t>Ownership boundary</w:t>
      </w:r>
    </w:p>
    <w:tbl>
      <w:tblPr>
        <w:tblW w:type="dxa" w:w="9360"/>
        <w:jc w:val="left"/>
        <w:tblLayout w:type="fixed"/>
        <w:tblLook w:firstColumn="1" w:firstRow="1" w:lastColumn="0" w:lastRow="0" w:noHBand="0" w:noVBand="1" w:val="04A0"/>
        <w:tblInd w:w="120" w:type="dxa"/>
        <w:tblBorders>
          <w:top w:val="single" w:sz="5" w:space="0" w:color="D8DEDB"/>
          <w:left w:val="single" w:sz="5" w:space="0" w:color="D8DEDB"/>
          <w:bottom w:val="single" w:sz="5" w:space="0" w:color="D8DEDB"/>
          <w:right w:val="single" w:sz="5" w:space="0" w:color="D8DEDB"/>
          <w:insideH w:val="single" w:sz="5" w:space="0" w:color="D8DEDB"/>
          <w:insideV w:val="single" w:sz="5" w:space="0" w:color="D8DEDB"/>
        </w:tblBorders>
      </w:tblPr>
      <w:tblGrid>
        <w:gridCol w:w="1500"/>
        <w:gridCol w:w="4800"/>
        <w:gridCol w:w="3060"/>
      </w:tblGrid>
      <w:tr>
        <w:trPr>
          <w:tblHeader/>
        </w:trPr>
        <w:tc>
          <w:tcPr>
            <w:tcW w:type="dxa" w:w="15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Owner</w:t>
            </w:r>
          </w:p>
        </w:tc>
        <w:tc>
          <w:tcPr>
            <w:tcW w:type="dxa" w:w="48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Owns</w:t>
            </w:r>
          </w:p>
        </w:tc>
        <w:tc>
          <w:tcPr>
            <w:tcW w:type="dxa" w:w="306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Never receives by default</w:t>
            </w:r>
          </w:p>
        </w:tc>
      </w:tr>
      <w:tr>
        <w:tc>
          <w:tcPr>
            <w:tcW w:type="dxa" w:w="1500"/>
          </w:tcPr>
          <w:p>
            <w:pPr>
              <w:spacing w:after="0" w:line="259" w:lineRule="auto"/>
              <w:jc w:val="left"/>
            </w:pPr>
            <w:r>
              <w:rPr>
                <w:rFonts w:ascii="Calibri" w:hAnsi="Calibri"/>
                <w:color w:val="1B2623"/>
                <w:sz w:val="17"/>
              </w:rPr>
              <w:t>Alba</w:t>
            </w:r>
          </w:p>
        </w:tc>
        <w:tc>
          <w:tcPr>
            <w:tcW w:type="dxa" w:w="4800"/>
          </w:tcPr>
          <w:p>
            <w:pPr>
              <w:spacing w:after="0" w:line="259" w:lineRule="auto"/>
              <w:jc w:val="left"/>
            </w:pPr>
            <w:r>
              <w:rPr>
                <w:rFonts w:ascii="Calibri" w:hAnsi="Calibri"/>
                <w:color w:val="1B2623"/>
                <w:sz w:val="17"/>
              </w:rPr>
              <w:t>Brand, app, lab pipeline, result model, customer relationship, coach network, child/family data.</w:t>
            </w:r>
          </w:p>
        </w:tc>
        <w:tc>
          <w:tcPr>
            <w:tcW w:type="dxa" w:w="3060"/>
          </w:tcPr>
          <w:p>
            <w:pPr>
              <w:spacing w:after="0" w:line="259" w:lineRule="auto"/>
              <w:jc w:val="left"/>
            </w:pPr>
            <w:r>
              <w:rPr>
                <w:rFonts w:ascii="Calibri" w:hAnsi="Calibri"/>
                <w:color w:val="1B2623"/>
                <w:sz w:val="17"/>
              </w:rPr>
              <w:t>No restriction—subject to its own consent, security and regulatory controls.</w:t>
            </w:r>
          </w:p>
        </w:tc>
      </w:tr>
      <w:tr>
        <w:tc>
          <w:tcPr>
            <w:tcW w:type="dxa" w:w="1500"/>
            <w:shd w:fill="F4F6F5"/>
          </w:tcPr>
          <w:p>
            <w:pPr>
              <w:spacing w:after="0" w:line="259" w:lineRule="auto"/>
              <w:jc w:val="left"/>
            </w:pPr>
            <w:r>
              <w:rPr>
                <w:rFonts w:ascii="Calibri" w:hAnsi="Calibri"/>
                <w:color w:val="1B2623"/>
                <w:sz w:val="17"/>
              </w:rPr>
              <w:t>Starlight</w:t>
            </w:r>
          </w:p>
        </w:tc>
        <w:tc>
          <w:tcPr>
            <w:tcW w:type="dxa" w:w="4800"/>
            <w:shd w:fill="F4F6F5"/>
          </w:tcPr>
          <w:p>
            <w:pPr>
              <w:spacing w:after="0" w:line="259" w:lineRule="auto"/>
              <w:jc w:val="left"/>
            </w:pPr>
            <w:r>
              <w:rPr>
                <w:rFonts w:ascii="Calibri" w:hAnsi="Calibri"/>
                <w:color w:val="1B2623"/>
                <w:sz w:val="17"/>
              </w:rPr>
              <w:t>Vertical compiler, skill/agent contracts, policy schemas, eval harness, evidence receipts, adapter SDK.</w:t>
            </w:r>
          </w:p>
        </w:tc>
        <w:tc>
          <w:tcPr>
            <w:tcW w:type="dxa" w:w="3060"/>
            <w:shd w:fill="F4F6F5"/>
          </w:tcPr>
          <w:p>
            <w:pPr>
              <w:spacing w:after="0" w:line="259" w:lineRule="auto"/>
              <w:jc w:val="left"/>
            </w:pPr>
            <w:r>
              <w:rPr>
                <w:rFonts w:ascii="Calibri" w:hAnsi="Calibri"/>
                <w:color w:val="1B2623"/>
                <w:sz w:val="17"/>
              </w:rPr>
              <w:t>Raw stool data, raw sequences, identifiable family records, coach notes.</w:t>
            </w:r>
          </w:p>
        </w:tc>
      </w:tr>
      <w:tr>
        <w:tc>
          <w:tcPr>
            <w:tcW w:type="dxa" w:w="1500"/>
          </w:tcPr>
          <w:p>
            <w:pPr>
              <w:spacing w:after="0" w:line="259" w:lineRule="auto"/>
              <w:jc w:val="left"/>
            </w:pPr>
            <w:r>
              <w:rPr>
                <w:rFonts w:ascii="Calibri" w:hAnsi="Calibri"/>
                <w:color w:val="1B2623"/>
                <w:sz w:val="17"/>
              </w:rPr>
              <w:t>Joint release</w:t>
            </w:r>
          </w:p>
        </w:tc>
        <w:tc>
          <w:tcPr>
            <w:tcW w:type="dxa" w:w="4800"/>
          </w:tcPr>
          <w:p>
            <w:pPr>
              <w:spacing w:after="0" w:line="259" w:lineRule="auto"/>
              <w:jc w:val="left"/>
            </w:pPr>
            <w:r>
              <w:rPr>
                <w:rFonts w:ascii="Calibri" w:hAnsi="Calibri"/>
                <w:color w:val="1B2623"/>
                <w:sz w:val="17"/>
              </w:rPr>
              <w:t>Alba-specific workflows, claims ledger, golden cases, integration adapter and pilot scorecard.</w:t>
            </w:r>
          </w:p>
        </w:tc>
        <w:tc>
          <w:tcPr>
            <w:tcW w:type="dxa" w:w="3060"/>
          </w:tcPr>
          <w:p>
            <w:pPr>
              <w:spacing w:after="0" w:line="259" w:lineRule="auto"/>
              <w:jc w:val="left"/>
            </w:pPr>
            <w:r>
              <w:rPr>
                <w:rFonts w:ascii="Calibri" w:hAnsi="Calibri"/>
                <w:color w:val="1B2623"/>
                <w:sz w:val="17"/>
              </w:rPr>
              <w:t>Cross-family memory or unreviewed clinical claims.</w:t>
            </w:r>
          </w:p>
        </w:tc>
      </w:tr>
    </w:tbl>
    <w:p>
      <w:r>
        <w:br w:type="page"/>
      </w:r>
    </w:p>
    <w:p>
      <w:pPr>
        <w:pStyle w:val="Heading1"/>
      </w:pPr>
      <w:r>
        <w:t>5. Family Health Graph and privacy model</w:t>
      </w:r>
    </w:p>
    <w:p>
      <w:pPr>
        <w:spacing w:line="288" w:lineRule="auto" w:before="160" w:after="200"/>
        <w:shd w:fill="DDE9E1"/>
        <w:pBdr>
          <w:left w:val="single" w:sz="18" w:space="8" w:color="9BB7A5"/>
        </w:pBdr>
        <w:ind w:left="230" w:right="115"/>
      </w:pPr>
      <w:r>
        <w:rPr>
          <w:rFonts w:ascii="Calibri" w:hAnsi="Calibri"/>
          <w:b/>
          <w:color w:val="173F35"/>
          <w:sz w:val="21"/>
        </w:rPr>
        <w:t xml:space="preserve">CORE DATA DECISION  </w:t>
      </w:r>
      <w:r>
        <w:rPr>
          <w:rFonts w:ascii="Calibri" w:hAnsi="Calibri"/>
          <w:color w:val="1B2623"/>
          <w:sz w:val="21"/>
        </w:rPr>
        <w:t>Use an isolated EU data plane inside Alba’s environment. SIS carries package definitions and non-personal evidence receipts; it is not a shared health record. No family’s memory is available to another family, the public research graph or a general Starlight vault.</w:t>
      </w:r>
    </w:p>
    <w:p>
      <w:pPr>
        <w:pStyle w:val="Heading2"/>
      </w:pPr>
      <w:r>
        <w:t>Canonical objects</w:t>
      </w:r>
    </w:p>
    <w:tbl>
      <w:tblPr>
        <w:tblW w:type="dxa" w:w="9360"/>
        <w:jc w:val="left"/>
        <w:tblLayout w:type="fixed"/>
        <w:tblLook w:firstColumn="1" w:firstRow="1" w:lastColumn="0" w:lastRow="0" w:noHBand="0" w:noVBand="1" w:val="04A0"/>
        <w:tblInd w:w="120" w:type="dxa"/>
        <w:tblBorders>
          <w:top w:val="single" w:sz="5" w:space="0" w:color="D8DEDB"/>
          <w:left w:val="single" w:sz="5" w:space="0" w:color="D8DEDB"/>
          <w:bottom w:val="single" w:sz="5" w:space="0" w:color="D8DEDB"/>
          <w:right w:val="single" w:sz="5" w:space="0" w:color="D8DEDB"/>
          <w:insideH w:val="single" w:sz="5" w:space="0" w:color="D8DEDB"/>
          <w:insideV w:val="single" w:sz="5" w:space="0" w:color="D8DEDB"/>
        </w:tblBorders>
      </w:tblPr>
      <w:tblGrid>
        <w:gridCol w:w="1500"/>
        <w:gridCol w:w="4800"/>
        <w:gridCol w:w="3060"/>
      </w:tblGrid>
      <w:tr>
        <w:trPr>
          <w:tblHeader/>
        </w:trPr>
        <w:tc>
          <w:tcPr>
            <w:tcW w:type="dxa" w:w="15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Object</w:t>
            </w:r>
          </w:p>
        </w:tc>
        <w:tc>
          <w:tcPr>
            <w:tcW w:type="dxa" w:w="48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What it contains</w:t>
            </w:r>
          </w:p>
        </w:tc>
        <w:tc>
          <w:tcPr>
            <w:tcW w:type="dxa" w:w="306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Control</w:t>
            </w:r>
          </w:p>
        </w:tc>
      </w:tr>
      <w:tr>
        <w:tc>
          <w:tcPr>
            <w:tcW w:type="dxa" w:w="1500"/>
          </w:tcPr>
          <w:p>
            <w:pPr>
              <w:spacing w:after="0" w:line="259" w:lineRule="auto"/>
              <w:jc w:val="left"/>
            </w:pPr>
            <w:r>
              <w:rPr>
                <w:rFonts w:ascii="Calibri" w:hAnsi="Calibri"/>
                <w:color w:val="1B2623"/>
                <w:sz w:val="17"/>
              </w:rPr>
              <w:t>Authority</w:t>
            </w:r>
          </w:p>
        </w:tc>
        <w:tc>
          <w:tcPr>
            <w:tcW w:type="dxa" w:w="4800"/>
          </w:tcPr>
          <w:p>
            <w:pPr>
              <w:spacing w:after="0" w:line="259" w:lineRule="auto"/>
              <w:jc w:val="left"/>
            </w:pPr>
            <w:r>
              <w:rPr>
                <w:rFonts w:ascii="Calibri" w:hAnsi="Calibri"/>
                <w:color w:val="1B2623"/>
                <w:sz w:val="17"/>
              </w:rPr>
              <w:t>Caregiver identity, child relationship, consent scope, country, expiry, revocation.</w:t>
            </w:r>
          </w:p>
        </w:tc>
        <w:tc>
          <w:tcPr>
            <w:tcW w:type="dxa" w:w="3060"/>
          </w:tcPr>
          <w:p>
            <w:pPr>
              <w:spacing w:after="0" w:line="259" w:lineRule="auto"/>
              <w:jc w:val="left"/>
            </w:pPr>
            <w:r>
              <w:rPr>
                <w:rFonts w:ascii="Calibri" w:hAnsi="Calibri"/>
                <w:color w:val="1B2623"/>
                <w:sz w:val="17"/>
              </w:rPr>
              <w:t>Explicit guardian authority; auditable changes.</w:t>
            </w:r>
          </w:p>
        </w:tc>
      </w:tr>
      <w:tr>
        <w:tc>
          <w:tcPr>
            <w:tcW w:type="dxa" w:w="1500"/>
            <w:shd w:fill="F4F6F5"/>
          </w:tcPr>
          <w:p>
            <w:pPr>
              <w:spacing w:after="0" w:line="259" w:lineRule="auto"/>
              <w:jc w:val="left"/>
            </w:pPr>
            <w:r>
              <w:rPr>
                <w:rFonts w:ascii="Calibri" w:hAnsi="Calibri"/>
                <w:color w:val="1B2623"/>
                <w:sz w:val="17"/>
              </w:rPr>
              <w:t>Context</w:t>
            </w:r>
          </w:p>
        </w:tc>
        <w:tc>
          <w:tcPr>
            <w:tcW w:type="dxa" w:w="4800"/>
            <w:shd w:fill="F4F6F5"/>
          </w:tcPr>
          <w:p>
            <w:pPr>
              <w:spacing w:after="0" w:line="259" w:lineRule="auto"/>
              <w:jc w:val="left"/>
            </w:pPr>
            <w:r>
              <w:rPr>
                <w:rFonts w:ascii="Calibri" w:hAnsi="Calibri"/>
                <w:color w:val="1B2623"/>
                <w:sz w:val="17"/>
              </w:rPr>
              <w:t>Age/stage, allergens, sensitivities, medical exclusions, preferences, culture, budget, kitchen, school routine.</w:t>
            </w:r>
          </w:p>
        </w:tc>
        <w:tc>
          <w:tcPr>
            <w:tcW w:type="dxa" w:w="3060"/>
            <w:shd w:fill="F4F6F5"/>
          </w:tcPr>
          <w:p>
            <w:pPr>
              <w:spacing w:after="0" w:line="259" w:lineRule="auto"/>
              <w:jc w:val="left"/>
            </w:pPr>
            <w:r>
              <w:rPr>
                <w:rFonts w:ascii="Calibri" w:hAnsi="Calibri"/>
                <w:color w:val="1B2623"/>
                <w:sz w:val="17"/>
              </w:rPr>
              <w:t>Field-level minimisation; parent/coach editable.</w:t>
            </w:r>
          </w:p>
        </w:tc>
      </w:tr>
      <w:tr>
        <w:tc>
          <w:tcPr>
            <w:tcW w:type="dxa" w:w="1500"/>
          </w:tcPr>
          <w:p>
            <w:pPr>
              <w:spacing w:after="0" w:line="259" w:lineRule="auto"/>
              <w:jc w:val="left"/>
            </w:pPr>
            <w:r>
              <w:rPr>
                <w:rFonts w:ascii="Calibri" w:hAnsi="Calibri"/>
                <w:color w:val="1B2623"/>
                <w:sz w:val="17"/>
              </w:rPr>
              <w:t>Assessment</w:t>
            </w:r>
          </w:p>
        </w:tc>
        <w:tc>
          <w:tcPr>
            <w:tcW w:type="dxa" w:w="4800"/>
          </w:tcPr>
          <w:p>
            <w:pPr>
              <w:spacing w:after="0" w:line="259" w:lineRule="auto"/>
              <w:jc w:val="left"/>
            </w:pPr>
            <w:r>
              <w:rPr>
                <w:rFonts w:ascii="Calibri" w:hAnsi="Calibri"/>
                <w:color w:val="1B2623"/>
                <w:sz w:val="17"/>
              </w:rPr>
              <w:t>Test/report identifier, result snapshot, approved interpretation and uncertainty.</w:t>
            </w:r>
          </w:p>
        </w:tc>
        <w:tc>
          <w:tcPr>
            <w:tcW w:type="dxa" w:w="3060"/>
          </w:tcPr>
          <w:p>
            <w:pPr>
              <w:spacing w:after="0" w:line="259" w:lineRule="auto"/>
              <w:jc w:val="left"/>
            </w:pPr>
            <w:r>
              <w:rPr>
                <w:rFonts w:ascii="Calibri" w:hAnsi="Calibri"/>
                <w:color w:val="1B2623"/>
                <w:sz w:val="17"/>
              </w:rPr>
              <w:t>No raw sequence in model context.</w:t>
            </w:r>
          </w:p>
        </w:tc>
      </w:tr>
      <w:tr>
        <w:tc>
          <w:tcPr>
            <w:tcW w:type="dxa" w:w="1500"/>
            <w:shd w:fill="F4F6F5"/>
          </w:tcPr>
          <w:p>
            <w:pPr>
              <w:spacing w:after="0" w:line="259" w:lineRule="auto"/>
              <w:jc w:val="left"/>
            </w:pPr>
            <w:r>
              <w:rPr>
                <w:rFonts w:ascii="Calibri" w:hAnsi="Calibri"/>
                <w:color w:val="1B2623"/>
                <w:sz w:val="17"/>
              </w:rPr>
              <w:t>Plan</w:t>
            </w:r>
          </w:p>
        </w:tc>
        <w:tc>
          <w:tcPr>
            <w:tcW w:type="dxa" w:w="4800"/>
            <w:shd w:fill="F4F6F5"/>
          </w:tcPr>
          <w:p>
            <w:pPr>
              <w:spacing w:after="0" w:line="259" w:lineRule="auto"/>
              <w:jc w:val="left"/>
            </w:pPr>
            <w:r>
              <w:rPr>
                <w:rFonts w:ascii="Calibri" w:hAnsi="Calibri"/>
                <w:color w:val="1B2623"/>
                <w:sz w:val="17"/>
              </w:rPr>
              <w:t>Goals, food candidates, recipes, substitutions, preparation tasks, responsible caregiver.</w:t>
            </w:r>
          </w:p>
        </w:tc>
        <w:tc>
          <w:tcPr>
            <w:tcW w:type="dxa" w:w="3060"/>
            <w:shd w:fill="F4F6F5"/>
          </w:tcPr>
          <w:p>
            <w:pPr>
              <w:spacing w:after="0" w:line="259" w:lineRule="auto"/>
              <w:jc w:val="left"/>
            </w:pPr>
            <w:r>
              <w:rPr>
                <w:rFonts w:ascii="Calibri" w:hAnsi="Calibri"/>
                <w:color w:val="1B2623"/>
                <w:sz w:val="17"/>
              </w:rPr>
              <w:t>Constraint engine + policy/evidence release.</w:t>
            </w:r>
          </w:p>
        </w:tc>
      </w:tr>
      <w:tr>
        <w:tc>
          <w:tcPr>
            <w:tcW w:type="dxa" w:w="1500"/>
          </w:tcPr>
          <w:p>
            <w:pPr>
              <w:spacing w:after="0" w:line="259" w:lineRule="auto"/>
              <w:jc w:val="left"/>
            </w:pPr>
            <w:r>
              <w:rPr>
                <w:rFonts w:ascii="Calibri" w:hAnsi="Calibri"/>
                <w:color w:val="1B2623"/>
                <w:sz w:val="17"/>
              </w:rPr>
              <w:t>Observation</w:t>
            </w:r>
          </w:p>
        </w:tc>
        <w:tc>
          <w:tcPr>
            <w:tcW w:type="dxa" w:w="4800"/>
          </w:tcPr>
          <w:p>
            <w:pPr>
              <w:spacing w:after="0" w:line="259" w:lineRule="auto"/>
              <w:jc w:val="left"/>
            </w:pPr>
            <w:r>
              <w:rPr>
                <w:rFonts w:ascii="Calibri" w:hAnsi="Calibri"/>
                <w:color w:val="1B2623"/>
                <w:sz w:val="17"/>
              </w:rPr>
              <w:t>What was served/accepted, stool or symptom notes, barriers, parent confidence and adherence.</w:t>
            </w:r>
          </w:p>
        </w:tc>
        <w:tc>
          <w:tcPr>
            <w:tcW w:type="dxa" w:w="3060"/>
          </w:tcPr>
          <w:p>
            <w:pPr>
              <w:spacing w:after="0" w:line="259" w:lineRule="auto"/>
              <w:jc w:val="left"/>
            </w:pPr>
            <w:r>
              <w:rPr>
                <w:rFonts w:ascii="Calibri" w:hAnsi="Calibri"/>
                <w:color w:val="1B2623"/>
                <w:sz w:val="17"/>
              </w:rPr>
              <w:t>Structured capture; no causal claim.</w:t>
            </w:r>
          </w:p>
        </w:tc>
      </w:tr>
      <w:tr>
        <w:tc>
          <w:tcPr>
            <w:tcW w:type="dxa" w:w="1500"/>
            <w:shd w:fill="F4F6F5"/>
          </w:tcPr>
          <w:p>
            <w:pPr>
              <w:spacing w:after="0" w:line="259" w:lineRule="auto"/>
              <w:jc w:val="left"/>
            </w:pPr>
            <w:r>
              <w:rPr>
                <w:rFonts w:ascii="Calibri" w:hAnsi="Calibri"/>
                <w:color w:val="1B2623"/>
                <w:sz w:val="17"/>
              </w:rPr>
              <w:t>Handoff</w:t>
            </w:r>
          </w:p>
        </w:tc>
        <w:tc>
          <w:tcPr>
            <w:tcW w:type="dxa" w:w="4800"/>
            <w:shd w:fill="F4F6F5"/>
          </w:tcPr>
          <w:p>
            <w:pPr>
              <w:spacing w:after="0" w:line="259" w:lineRule="auto"/>
              <w:jc w:val="left"/>
            </w:pPr>
            <w:r>
              <w:rPr>
                <w:rFonts w:ascii="Calibri" w:hAnsi="Calibri"/>
                <w:color w:val="1B2623"/>
                <w:sz w:val="17"/>
              </w:rPr>
              <w:t>Coach brief, open questions, exceptions, plan history and parent-approved export.</w:t>
            </w:r>
          </w:p>
        </w:tc>
        <w:tc>
          <w:tcPr>
            <w:tcW w:type="dxa" w:w="3060"/>
            <w:shd w:fill="F4F6F5"/>
          </w:tcPr>
          <w:p>
            <w:pPr>
              <w:spacing w:after="0" w:line="259" w:lineRule="auto"/>
              <w:jc w:val="left"/>
            </w:pPr>
            <w:r>
              <w:rPr>
                <w:rFonts w:ascii="Calibri" w:hAnsi="Calibri"/>
                <w:color w:val="1B2623"/>
                <w:sz w:val="17"/>
              </w:rPr>
              <w:t>Human review before sharing.</w:t>
            </w:r>
          </w:p>
        </w:tc>
      </w:tr>
      <w:tr>
        <w:tc>
          <w:tcPr>
            <w:tcW w:type="dxa" w:w="1500"/>
          </w:tcPr>
          <w:p>
            <w:pPr>
              <w:spacing w:after="0" w:line="259" w:lineRule="auto"/>
              <w:jc w:val="left"/>
            </w:pPr>
            <w:r>
              <w:rPr>
                <w:rFonts w:ascii="Calibri" w:hAnsi="Calibri"/>
                <w:color w:val="1B2623"/>
                <w:sz w:val="17"/>
              </w:rPr>
              <w:t>Receipt</w:t>
            </w:r>
          </w:p>
        </w:tc>
        <w:tc>
          <w:tcPr>
            <w:tcW w:type="dxa" w:w="4800"/>
          </w:tcPr>
          <w:p>
            <w:pPr>
              <w:spacing w:after="0" w:line="259" w:lineRule="auto"/>
              <w:jc w:val="left"/>
            </w:pPr>
            <w:r>
              <w:rPr>
                <w:rFonts w:ascii="Calibri" w:hAnsi="Calibri"/>
                <w:color w:val="1B2623"/>
                <w:sz w:val="17"/>
              </w:rPr>
              <w:t>Skill version, model route, sources, policies, tool calls, confidence, reviewer and outcome.</w:t>
            </w:r>
          </w:p>
        </w:tc>
        <w:tc>
          <w:tcPr>
            <w:tcW w:type="dxa" w:w="3060"/>
          </w:tcPr>
          <w:p>
            <w:pPr>
              <w:spacing w:after="0" w:line="259" w:lineRule="auto"/>
              <w:jc w:val="left"/>
            </w:pPr>
            <w:r>
              <w:rPr>
                <w:rFonts w:ascii="Calibri" w:hAnsi="Calibri"/>
                <w:color w:val="1B2623"/>
                <w:sz w:val="17"/>
              </w:rPr>
              <w:t>Append-only audit and release traceability.</w:t>
            </w:r>
          </w:p>
        </w:tc>
      </w:tr>
    </w:tbl>
    <w:p>
      <w:pPr>
        <w:pStyle w:val="Heading2"/>
      </w:pPr>
      <w:r>
        <w:t>Four data zones</w:t>
      </w:r>
    </w:p>
    <w:tbl>
      <w:tblPr>
        <w:tblW w:type="dxa" w:w="9360"/>
        <w:jc w:val="left"/>
        <w:tblLayout w:type="fixed"/>
        <w:tblLook w:firstColumn="1" w:firstRow="1" w:lastColumn="0" w:lastRow="0" w:noHBand="0" w:noVBand="1" w:val="04A0"/>
        <w:tblInd w:w="120" w:type="dxa"/>
        <w:tblBorders>
          <w:top w:val="single" w:sz="5" w:space="0" w:color="D8DEDB"/>
          <w:left w:val="single" w:sz="5" w:space="0" w:color="D8DEDB"/>
          <w:bottom w:val="single" w:sz="5" w:space="0" w:color="D8DEDB"/>
          <w:right w:val="single" w:sz="5" w:space="0" w:color="D8DEDB"/>
          <w:insideH w:val="single" w:sz="5" w:space="0" w:color="D8DEDB"/>
          <w:insideV w:val="single" w:sz="5" w:space="0" w:color="D8DEDB"/>
        </w:tblBorders>
      </w:tblPr>
      <w:tblGrid>
        <w:gridCol w:w="1350"/>
        <w:gridCol w:w="3650"/>
        <w:gridCol w:w="4360"/>
      </w:tblGrid>
      <w:tr>
        <w:trPr>
          <w:tblHeader/>
        </w:trPr>
        <w:tc>
          <w:tcPr>
            <w:tcW w:type="dxa" w:w="135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Zone</w:t>
            </w:r>
          </w:p>
        </w:tc>
        <w:tc>
          <w:tcPr>
            <w:tcW w:type="dxa" w:w="365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Examples</w:t>
            </w:r>
          </w:p>
        </w:tc>
        <w:tc>
          <w:tcPr>
            <w:tcW w:type="dxa" w:w="436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AI and learning rule</w:t>
            </w:r>
          </w:p>
        </w:tc>
      </w:tr>
      <w:tr>
        <w:tc>
          <w:tcPr>
            <w:tcW w:type="dxa" w:w="1350"/>
          </w:tcPr>
          <w:p>
            <w:pPr>
              <w:spacing w:after="0" w:line="259" w:lineRule="auto"/>
              <w:jc w:val="left"/>
            </w:pPr>
            <w:r>
              <w:rPr>
                <w:rFonts w:ascii="Calibri" w:hAnsi="Calibri"/>
                <w:color w:val="1B2623"/>
                <w:sz w:val="17"/>
              </w:rPr>
              <w:t>Public</w:t>
            </w:r>
          </w:p>
        </w:tc>
        <w:tc>
          <w:tcPr>
            <w:tcW w:type="dxa" w:w="3650"/>
          </w:tcPr>
          <w:p>
            <w:pPr>
              <w:spacing w:after="0" w:line="259" w:lineRule="auto"/>
              <w:jc w:val="left"/>
            </w:pPr>
            <w:r>
              <w:rPr>
                <w:rFonts w:ascii="Calibri" w:hAnsi="Calibri"/>
                <w:color w:val="1B2623"/>
                <w:sz w:val="17"/>
              </w:rPr>
              <w:t>Education, generic recipes, source summaries.</w:t>
            </w:r>
          </w:p>
        </w:tc>
        <w:tc>
          <w:tcPr>
            <w:tcW w:type="dxa" w:w="4360"/>
          </w:tcPr>
          <w:p>
            <w:pPr>
              <w:spacing w:after="0" w:line="259" w:lineRule="auto"/>
              <w:jc w:val="left"/>
            </w:pPr>
            <w:r>
              <w:rPr>
                <w:rFonts w:ascii="Calibri" w:hAnsi="Calibri"/>
                <w:color w:val="1B2623"/>
                <w:sz w:val="17"/>
              </w:rPr>
              <w:t>May enter public models; no family data.</w:t>
            </w:r>
          </w:p>
        </w:tc>
      </w:tr>
      <w:tr>
        <w:tc>
          <w:tcPr>
            <w:tcW w:type="dxa" w:w="1350"/>
            <w:shd w:fill="F4F6F5"/>
          </w:tcPr>
          <w:p>
            <w:pPr>
              <w:spacing w:after="0" w:line="259" w:lineRule="auto"/>
              <w:jc w:val="left"/>
            </w:pPr>
            <w:r>
              <w:rPr>
                <w:rFonts w:ascii="Calibri" w:hAnsi="Calibri"/>
                <w:color w:val="1B2623"/>
                <w:sz w:val="17"/>
              </w:rPr>
              <w:t>Family-private</w:t>
            </w:r>
          </w:p>
        </w:tc>
        <w:tc>
          <w:tcPr>
            <w:tcW w:type="dxa" w:w="3650"/>
            <w:shd w:fill="F4F6F5"/>
          </w:tcPr>
          <w:p>
            <w:pPr>
              <w:spacing w:after="0" w:line="259" w:lineRule="auto"/>
              <w:jc w:val="left"/>
            </w:pPr>
            <w:r>
              <w:rPr>
                <w:rFonts w:ascii="Calibri" w:hAnsi="Calibri"/>
                <w:color w:val="1B2623"/>
                <w:sz w:val="17"/>
              </w:rPr>
              <w:t>Identities, intake, results, plans, observations.</w:t>
            </w:r>
          </w:p>
        </w:tc>
        <w:tc>
          <w:tcPr>
            <w:tcW w:type="dxa" w:w="4360"/>
            <w:shd w:fill="F4F6F5"/>
          </w:tcPr>
          <w:p>
            <w:pPr>
              <w:spacing w:after="0" w:line="259" w:lineRule="auto"/>
              <w:jc w:val="left"/>
            </w:pPr>
            <w:r>
              <w:rPr>
                <w:rFonts w:ascii="Calibri" w:hAnsi="Calibri"/>
                <w:color w:val="1B2623"/>
                <w:sz w:val="17"/>
              </w:rPr>
              <w:t>Minimal context through approved gateway; tenant-isolated.</w:t>
            </w:r>
          </w:p>
        </w:tc>
      </w:tr>
      <w:tr>
        <w:tc>
          <w:tcPr>
            <w:tcW w:type="dxa" w:w="1350"/>
          </w:tcPr>
          <w:p>
            <w:pPr>
              <w:spacing w:after="0" w:line="259" w:lineRule="auto"/>
              <w:jc w:val="left"/>
            </w:pPr>
            <w:r>
              <w:rPr>
                <w:rFonts w:ascii="Calibri" w:hAnsi="Calibri"/>
                <w:color w:val="1B2623"/>
                <w:sz w:val="17"/>
              </w:rPr>
              <w:t>Coach-private</w:t>
            </w:r>
          </w:p>
        </w:tc>
        <w:tc>
          <w:tcPr>
            <w:tcW w:type="dxa" w:w="3650"/>
          </w:tcPr>
          <w:p>
            <w:pPr>
              <w:spacing w:after="0" w:line="259" w:lineRule="auto"/>
              <w:jc w:val="left"/>
            </w:pPr>
            <w:r>
              <w:rPr>
                <w:rFonts w:ascii="Calibri" w:hAnsi="Calibri"/>
                <w:color w:val="1B2623"/>
                <w:sz w:val="17"/>
              </w:rPr>
              <w:t>Consultation notes, escalations, overrides.</w:t>
            </w:r>
          </w:p>
        </w:tc>
        <w:tc>
          <w:tcPr>
            <w:tcW w:type="dxa" w:w="4360"/>
          </w:tcPr>
          <w:p>
            <w:pPr>
              <w:spacing w:after="0" w:line="259" w:lineRule="auto"/>
              <w:jc w:val="left"/>
            </w:pPr>
            <w:r>
              <w:rPr>
                <w:rFonts w:ascii="Calibri" w:hAnsi="Calibri"/>
                <w:color w:val="1B2623"/>
                <w:sz w:val="17"/>
              </w:rPr>
              <w:t>Role-bound; never used for generic training by default.</w:t>
            </w:r>
          </w:p>
        </w:tc>
      </w:tr>
      <w:tr>
        <w:tc>
          <w:tcPr>
            <w:tcW w:type="dxa" w:w="1350"/>
            <w:shd w:fill="F4F6F5"/>
          </w:tcPr>
          <w:p>
            <w:pPr>
              <w:spacing w:after="0" w:line="259" w:lineRule="auto"/>
              <w:jc w:val="left"/>
            </w:pPr>
            <w:r>
              <w:rPr>
                <w:rFonts w:ascii="Calibri" w:hAnsi="Calibri"/>
                <w:color w:val="1B2623"/>
                <w:sz w:val="17"/>
              </w:rPr>
              <w:t>Research</w:t>
            </w:r>
          </w:p>
        </w:tc>
        <w:tc>
          <w:tcPr>
            <w:tcW w:type="dxa" w:w="3650"/>
            <w:shd w:fill="F4F6F5"/>
          </w:tcPr>
          <w:p>
            <w:pPr>
              <w:spacing w:after="0" w:line="259" w:lineRule="auto"/>
              <w:jc w:val="left"/>
            </w:pPr>
            <w:r>
              <w:rPr>
                <w:rFonts w:ascii="Calibri" w:hAnsi="Calibri"/>
                <w:color w:val="1B2623"/>
                <w:sz w:val="17"/>
              </w:rPr>
              <w:t>Separately consented, de-identified outcomes.</w:t>
            </w:r>
          </w:p>
        </w:tc>
        <w:tc>
          <w:tcPr>
            <w:tcW w:type="dxa" w:w="4360"/>
            <w:shd w:fill="F4F6F5"/>
          </w:tcPr>
          <w:p>
            <w:pPr>
              <w:spacing w:after="0" w:line="259" w:lineRule="auto"/>
              <w:jc w:val="left"/>
            </w:pPr>
            <w:r>
              <w:rPr>
                <w:rFonts w:ascii="Calibri" w:hAnsi="Calibri"/>
                <w:color w:val="1B2623"/>
                <w:sz w:val="17"/>
              </w:rPr>
              <w:t>Separate pipeline; purpose limitation and disclosure controls.</w:t>
            </w:r>
          </w:p>
        </w:tc>
      </w:tr>
    </w:tbl>
    <w:p>
      <w:pPr>
        <w:spacing w:line="288" w:lineRule="auto" w:before="160" w:after="200"/>
        <w:shd w:fill="F8EDE9"/>
        <w:pBdr>
          <w:left w:val="single" w:sz="18" w:space="8" w:color="9C3D3D"/>
        </w:pBdr>
        <w:ind w:left="230" w:right="115"/>
      </w:pPr>
      <w:r>
        <w:rPr>
          <w:rFonts w:ascii="Calibri" w:hAnsi="Calibri"/>
          <w:b/>
          <w:color w:val="173F35"/>
          <w:sz w:val="21"/>
        </w:rPr>
        <w:t xml:space="preserve">PUBLIC-POLICY DILIGENCE  </w:t>
      </w:r>
      <w:r>
        <w:rPr>
          <w:rFonts w:ascii="Calibri" w:hAnsi="Calibri"/>
          <w:color w:val="1B2623"/>
          <w:sz w:val="21"/>
        </w:rPr>
        <w:t>Alba’s current storefront privacy policy says it does not request or process sensitive information, while the product necessarily handles questionnaires and health-related data and names AI providers among processors. Align the data map, lawful bases, app notices, processor list, retention, research consent and public policy through counsel before the pilot.[10]</w:t>
      </w:r>
    </w:p>
    <w:p>
      <w:r>
        <w:br w:type="page"/>
      </w:r>
    </w:p>
    <w:p>
      <w:pPr>
        <w:pStyle w:val="Heading1"/>
      </w:pPr>
      <w:r>
        <w:t>6. Skill and agent packs</w:t>
      </w:r>
    </w:p>
    <w:p>
      <w:r>
        <w:rPr>
          <w:rFonts w:ascii="Calibri" w:hAnsi="Calibri"/>
          <w:color w:val="1B2623"/>
        </w:rPr>
        <w:t>A skill is callable competence. An agent exists only where a persistent policy, memory and escalation boundary is required. Most parent features should therefore be skills behind one calm guide—not a theatrical swarm.</w:t>
      </w:r>
    </w:p>
    <w:p>
      <w:pPr>
        <w:pStyle w:val="Heading2"/>
      </w:pPr>
      <w:r>
        <w:t>Parent-facing Alba Gut Journey Pack</w:t>
      </w:r>
    </w:p>
    <w:tbl>
      <w:tblPr>
        <w:tblW w:type="dxa" w:w="9360"/>
        <w:jc w:val="left"/>
        <w:tblLayout w:type="fixed"/>
        <w:tblLook w:firstColumn="1" w:firstRow="1" w:lastColumn="0" w:lastRow="0" w:noHBand="0" w:noVBand="1" w:val="04A0"/>
        <w:tblInd w:w="120" w:type="dxa"/>
        <w:tblBorders>
          <w:top w:val="single" w:sz="5" w:space="0" w:color="D8DEDB"/>
          <w:left w:val="single" w:sz="5" w:space="0" w:color="D8DEDB"/>
          <w:bottom w:val="single" w:sz="5" w:space="0" w:color="D8DEDB"/>
          <w:right w:val="single" w:sz="5" w:space="0" w:color="D8DEDB"/>
          <w:insideH w:val="single" w:sz="5" w:space="0" w:color="D8DEDB"/>
          <w:insideV w:val="single" w:sz="5" w:space="0" w:color="D8DEDB"/>
        </w:tblBorders>
      </w:tblPr>
      <w:tblGrid>
        <w:gridCol w:w="2600"/>
        <w:gridCol w:w="4100"/>
        <w:gridCol w:w="2660"/>
      </w:tblGrid>
      <w:tr>
        <w:trPr>
          <w:tblHeader/>
        </w:trPr>
        <w:tc>
          <w:tcPr>
            <w:tcW w:type="dxa" w:w="26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6"/>
              </w:rPr>
              <w:t>Skill</w:t>
            </w:r>
          </w:p>
        </w:tc>
        <w:tc>
          <w:tcPr>
            <w:tcW w:type="dxa" w:w="41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6"/>
              </w:rPr>
              <w:t>Output</w:t>
            </w:r>
          </w:p>
        </w:tc>
        <w:tc>
          <w:tcPr>
            <w:tcW w:type="dxa" w:w="266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6"/>
              </w:rPr>
              <w:t>Hard gate</w:t>
            </w:r>
          </w:p>
        </w:tc>
      </w:tr>
      <w:tr>
        <w:tc>
          <w:tcPr>
            <w:tcW w:type="dxa" w:w="2600"/>
          </w:tcPr>
          <w:p>
            <w:pPr>
              <w:spacing w:after="0" w:line="259" w:lineRule="auto"/>
              <w:jc w:val="left"/>
            </w:pPr>
            <w:r>
              <w:rPr>
                <w:rFonts w:ascii="Calibri" w:hAnsi="Calibri"/>
                <w:color w:val="1B2623"/>
                <w:sz w:val="16"/>
              </w:rPr>
              <w:t>guided-intake</w:t>
            </w:r>
          </w:p>
        </w:tc>
        <w:tc>
          <w:tcPr>
            <w:tcW w:type="dxa" w:w="4100"/>
          </w:tcPr>
          <w:p>
            <w:pPr>
              <w:spacing w:after="0" w:line="259" w:lineRule="auto"/>
              <w:jc w:val="left"/>
            </w:pPr>
            <w:r>
              <w:rPr>
                <w:rFonts w:ascii="Calibri" w:hAnsi="Calibri"/>
                <w:color w:val="1B2623"/>
                <w:sz w:val="16"/>
              </w:rPr>
              <w:t>Structured family context and missing-information list.</w:t>
            </w:r>
          </w:p>
        </w:tc>
        <w:tc>
          <w:tcPr>
            <w:tcW w:type="dxa" w:w="2660"/>
          </w:tcPr>
          <w:p>
            <w:pPr>
              <w:spacing w:after="0" w:line="259" w:lineRule="auto"/>
              <w:jc w:val="left"/>
            </w:pPr>
            <w:r>
              <w:rPr>
                <w:rFonts w:ascii="Calibri" w:hAnsi="Calibri"/>
                <w:color w:val="1B2623"/>
                <w:sz w:val="16"/>
              </w:rPr>
              <w:t>Guardian authority + minimisation.</w:t>
            </w:r>
          </w:p>
        </w:tc>
      </w:tr>
      <w:tr>
        <w:tc>
          <w:tcPr>
            <w:tcW w:type="dxa" w:w="2600"/>
            <w:shd w:fill="F4F6F5"/>
          </w:tcPr>
          <w:p>
            <w:pPr>
              <w:spacing w:after="0" w:line="259" w:lineRule="auto"/>
              <w:jc w:val="left"/>
            </w:pPr>
            <w:r>
              <w:rPr>
                <w:rFonts w:ascii="Calibri" w:hAnsi="Calibri"/>
                <w:color w:val="1B2623"/>
                <w:sz w:val="16"/>
              </w:rPr>
              <w:t>report-translator</w:t>
            </w:r>
          </w:p>
        </w:tc>
        <w:tc>
          <w:tcPr>
            <w:tcW w:type="dxa" w:w="4100"/>
            <w:shd w:fill="F4F6F5"/>
          </w:tcPr>
          <w:p>
            <w:pPr>
              <w:spacing w:after="0" w:line="259" w:lineRule="auto"/>
              <w:jc w:val="left"/>
            </w:pPr>
            <w:r>
              <w:rPr>
                <w:rFonts w:ascii="Calibri" w:hAnsi="Calibri"/>
                <w:color w:val="1B2623"/>
                <w:sz w:val="16"/>
              </w:rPr>
              <w:t>Plain-language result and uncertainty summary.</w:t>
            </w:r>
          </w:p>
        </w:tc>
        <w:tc>
          <w:tcPr>
            <w:tcW w:type="dxa" w:w="2660"/>
            <w:shd w:fill="F4F6F5"/>
          </w:tcPr>
          <w:p>
            <w:pPr>
              <w:spacing w:after="0" w:line="259" w:lineRule="auto"/>
              <w:jc w:val="left"/>
            </w:pPr>
            <w:r>
              <w:rPr>
                <w:rFonts w:ascii="Calibri" w:hAnsi="Calibri"/>
                <w:color w:val="1B2623"/>
                <w:sz w:val="16"/>
              </w:rPr>
              <w:t>Uses Alba-approved interpretation only.</w:t>
            </w:r>
          </w:p>
        </w:tc>
      </w:tr>
      <w:tr>
        <w:tc>
          <w:tcPr>
            <w:tcW w:type="dxa" w:w="2600"/>
          </w:tcPr>
          <w:p>
            <w:pPr>
              <w:spacing w:after="0" w:line="259" w:lineRule="auto"/>
              <w:jc w:val="left"/>
            </w:pPr>
            <w:r>
              <w:rPr>
                <w:rFonts w:ascii="Calibri" w:hAnsi="Calibri"/>
                <w:color w:val="1B2623"/>
                <w:sz w:val="16"/>
              </w:rPr>
              <w:t>first-week-plan</w:t>
            </w:r>
          </w:p>
        </w:tc>
        <w:tc>
          <w:tcPr>
            <w:tcW w:type="dxa" w:w="4100"/>
          </w:tcPr>
          <w:p>
            <w:pPr>
              <w:spacing w:after="0" w:line="259" w:lineRule="auto"/>
              <w:jc w:val="left"/>
            </w:pPr>
            <w:r>
              <w:rPr>
                <w:rFonts w:ascii="Calibri" w:hAnsi="Calibri"/>
                <w:color w:val="1B2623"/>
                <w:sz w:val="16"/>
              </w:rPr>
              <w:t>7-day meals, substitutions, grocery and prep sequence.</w:t>
            </w:r>
          </w:p>
        </w:tc>
        <w:tc>
          <w:tcPr>
            <w:tcW w:type="dxa" w:w="2660"/>
          </w:tcPr>
          <w:p>
            <w:pPr>
              <w:spacing w:after="0" w:line="259" w:lineRule="auto"/>
              <w:jc w:val="left"/>
            </w:pPr>
            <w:r>
              <w:rPr>
                <w:rFonts w:ascii="Calibri" w:hAnsi="Calibri"/>
                <w:color w:val="1B2623"/>
                <w:sz w:val="16"/>
              </w:rPr>
              <w:t>Age, allergen, exclusion and evidence checks.</w:t>
            </w:r>
          </w:p>
        </w:tc>
      </w:tr>
      <w:tr>
        <w:tc>
          <w:tcPr>
            <w:tcW w:type="dxa" w:w="2600"/>
            <w:shd w:fill="F4F6F5"/>
          </w:tcPr>
          <w:p>
            <w:pPr>
              <w:spacing w:after="0" w:line="259" w:lineRule="auto"/>
              <w:jc w:val="left"/>
            </w:pPr>
            <w:r>
              <w:rPr>
                <w:rFonts w:ascii="Calibri" w:hAnsi="Calibri"/>
                <w:color w:val="1B2623"/>
                <w:sz w:val="16"/>
              </w:rPr>
              <w:t>picky-eater-adapter</w:t>
            </w:r>
          </w:p>
        </w:tc>
        <w:tc>
          <w:tcPr>
            <w:tcW w:type="dxa" w:w="4100"/>
            <w:shd w:fill="F4F6F5"/>
          </w:tcPr>
          <w:p>
            <w:pPr>
              <w:spacing w:after="0" w:line="259" w:lineRule="auto"/>
              <w:jc w:val="left"/>
            </w:pPr>
            <w:r>
              <w:rPr>
                <w:rFonts w:ascii="Calibri" w:hAnsi="Calibri"/>
                <w:color w:val="1B2623"/>
                <w:sz w:val="16"/>
              </w:rPr>
              <w:t>Low-friction exposure ladder and familiar-food bridge.</w:t>
            </w:r>
          </w:p>
        </w:tc>
        <w:tc>
          <w:tcPr>
            <w:tcW w:type="dxa" w:w="2660"/>
            <w:shd w:fill="F4F6F5"/>
          </w:tcPr>
          <w:p>
            <w:pPr>
              <w:spacing w:after="0" w:line="259" w:lineRule="auto"/>
              <w:jc w:val="left"/>
            </w:pPr>
            <w:r>
              <w:rPr>
                <w:rFonts w:ascii="Calibri" w:hAnsi="Calibri"/>
                <w:color w:val="1B2623"/>
                <w:sz w:val="16"/>
              </w:rPr>
              <w:t>No coercion; coach review for flagged cases.</w:t>
            </w:r>
          </w:p>
        </w:tc>
      </w:tr>
      <w:tr>
        <w:tc>
          <w:tcPr>
            <w:tcW w:type="dxa" w:w="2600"/>
          </w:tcPr>
          <w:p>
            <w:pPr>
              <w:spacing w:after="0" w:line="259" w:lineRule="auto"/>
              <w:jc w:val="left"/>
            </w:pPr>
            <w:r>
              <w:rPr>
                <w:rFonts w:ascii="Calibri" w:hAnsi="Calibri"/>
                <w:color w:val="1B2623"/>
                <w:sz w:val="16"/>
              </w:rPr>
              <w:t>school-travel-adapter</w:t>
            </w:r>
          </w:p>
        </w:tc>
        <w:tc>
          <w:tcPr>
            <w:tcW w:type="dxa" w:w="4100"/>
          </w:tcPr>
          <w:p>
            <w:pPr>
              <w:spacing w:after="0" w:line="259" w:lineRule="auto"/>
              <w:jc w:val="left"/>
            </w:pPr>
            <w:r>
              <w:rPr>
                <w:rFonts w:ascii="Calibri" w:hAnsi="Calibri"/>
                <w:color w:val="1B2623"/>
                <w:sz w:val="16"/>
              </w:rPr>
              <w:t>Lunchbox, restaurant and travel variants.</w:t>
            </w:r>
          </w:p>
        </w:tc>
        <w:tc>
          <w:tcPr>
            <w:tcW w:type="dxa" w:w="2660"/>
          </w:tcPr>
          <w:p>
            <w:pPr>
              <w:spacing w:after="0" w:line="259" w:lineRule="auto"/>
              <w:jc w:val="left"/>
            </w:pPr>
            <w:r>
              <w:rPr>
                <w:rFonts w:ascii="Calibri" w:hAnsi="Calibri"/>
                <w:color w:val="1B2623"/>
                <w:sz w:val="16"/>
              </w:rPr>
              <w:t>Uncertain menu data remains explicit.</w:t>
            </w:r>
          </w:p>
        </w:tc>
      </w:tr>
      <w:tr>
        <w:tc>
          <w:tcPr>
            <w:tcW w:type="dxa" w:w="2600"/>
            <w:shd w:fill="F4F6F5"/>
          </w:tcPr>
          <w:p>
            <w:pPr>
              <w:spacing w:after="0" w:line="259" w:lineRule="auto"/>
              <w:jc w:val="left"/>
            </w:pPr>
            <w:r>
              <w:rPr>
                <w:rFonts w:ascii="Calibri" w:hAnsi="Calibri"/>
                <w:color w:val="1B2623"/>
                <w:sz w:val="16"/>
              </w:rPr>
              <w:t>food-and-meal-scan</w:t>
            </w:r>
          </w:p>
        </w:tc>
        <w:tc>
          <w:tcPr>
            <w:tcW w:type="dxa" w:w="4100"/>
            <w:shd w:fill="F4F6F5"/>
          </w:tcPr>
          <w:p>
            <w:pPr>
              <w:spacing w:after="0" w:line="259" w:lineRule="auto"/>
              <w:jc w:val="left"/>
            </w:pPr>
            <w:r>
              <w:rPr>
                <w:rFonts w:ascii="Calibri" w:hAnsi="Calibri"/>
                <w:color w:val="1B2623"/>
                <w:sz w:val="16"/>
              </w:rPr>
              <w:t>Compatibility explanation, not a pass/fail medical claim.</w:t>
            </w:r>
          </w:p>
        </w:tc>
        <w:tc>
          <w:tcPr>
            <w:tcW w:type="dxa" w:w="2660"/>
            <w:shd w:fill="F4F6F5"/>
          </w:tcPr>
          <w:p>
            <w:pPr>
              <w:spacing w:after="0" w:line="259" w:lineRule="auto"/>
              <w:jc w:val="left"/>
            </w:pPr>
            <w:r>
              <w:rPr>
                <w:rFonts w:ascii="Calibri" w:hAnsi="Calibri"/>
                <w:color w:val="1B2623"/>
                <w:sz w:val="16"/>
              </w:rPr>
              <w:t>Image/text prompt-injection and allergen tests.</w:t>
            </w:r>
          </w:p>
        </w:tc>
      </w:tr>
      <w:tr>
        <w:tc>
          <w:tcPr>
            <w:tcW w:type="dxa" w:w="2600"/>
          </w:tcPr>
          <w:p>
            <w:pPr>
              <w:spacing w:after="0" w:line="259" w:lineRule="auto"/>
              <w:jc w:val="left"/>
            </w:pPr>
            <w:r>
              <w:rPr>
                <w:rFonts w:ascii="Calibri" w:hAnsi="Calibri"/>
                <w:color w:val="1B2623"/>
                <w:sz w:val="16"/>
              </w:rPr>
              <w:t>weekly-review</w:t>
            </w:r>
          </w:p>
        </w:tc>
        <w:tc>
          <w:tcPr>
            <w:tcW w:type="dxa" w:w="4100"/>
          </w:tcPr>
          <w:p>
            <w:pPr>
              <w:spacing w:after="0" w:line="259" w:lineRule="auto"/>
              <w:jc w:val="left"/>
            </w:pPr>
            <w:r>
              <w:rPr>
                <w:rFonts w:ascii="Calibri" w:hAnsi="Calibri"/>
                <w:color w:val="1B2623"/>
                <w:sz w:val="16"/>
              </w:rPr>
              <w:t>Adherence, barriers, observations and next small experiment.</w:t>
            </w:r>
          </w:p>
        </w:tc>
        <w:tc>
          <w:tcPr>
            <w:tcW w:type="dxa" w:w="2660"/>
          </w:tcPr>
          <w:p>
            <w:pPr>
              <w:spacing w:after="0" w:line="259" w:lineRule="auto"/>
              <w:jc w:val="left"/>
            </w:pPr>
            <w:r>
              <w:rPr>
                <w:rFonts w:ascii="Calibri" w:hAnsi="Calibri"/>
                <w:color w:val="1B2623"/>
                <w:sz w:val="16"/>
              </w:rPr>
              <w:t>No causal inference from self-report.</w:t>
            </w:r>
          </w:p>
        </w:tc>
      </w:tr>
      <w:tr>
        <w:tc>
          <w:tcPr>
            <w:tcW w:type="dxa" w:w="2600"/>
            <w:shd w:fill="F4F6F5"/>
          </w:tcPr>
          <w:p>
            <w:pPr>
              <w:spacing w:after="0" w:line="259" w:lineRule="auto"/>
              <w:jc w:val="left"/>
            </w:pPr>
            <w:r>
              <w:rPr>
                <w:rFonts w:ascii="Calibri" w:hAnsi="Calibri"/>
                <w:color w:val="1B2623"/>
                <w:sz w:val="16"/>
              </w:rPr>
              <w:t>coach-handoff</w:t>
            </w:r>
          </w:p>
        </w:tc>
        <w:tc>
          <w:tcPr>
            <w:tcW w:type="dxa" w:w="4100"/>
            <w:shd w:fill="F4F6F5"/>
          </w:tcPr>
          <w:p>
            <w:pPr>
              <w:spacing w:after="0" w:line="259" w:lineRule="auto"/>
              <w:jc w:val="left"/>
            </w:pPr>
            <w:r>
              <w:rPr>
                <w:rFonts w:ascii="Calibri" w:hAnsi="Calibri"/>
                <w:color w:val="1B2623"/>
                <w:sz w:val="16"/>
              </w:rPr>
              <w:t>One-page brief with exceptions and questions.</w:t>
            </w:r>
          </w:p>
        </w:tc>
        <w:tc>
          <w:tcPr>
            <w:tcW w:type="dxa" w:w="2660"/>
            <w:shd w:fill="F4F6F5"/>
          </w:tcPr>
          <w:p>
            <w:pPr>
              <w:spacing w:after="0" w:line="259" w:lineRule="auto"/>
              <w:jc w:val="left"/>
            </w:pPr>
            <w:r>
              <w:rPr>
                <w:rFonts w:ascii="Calibri" w:hAnsi="Calibri"/>
                <w:color w:val="1B2623"/>
                <w:sz w:val="16"/>
              </w:rPr>
              <w:t>Parent-approved export only.</w:t>
            </w:r>
          </w:p>
        </w:tc>
      </w:tr>
      <w:tr>
        <w:tc>
          <w:tcPr>
            <w:tcW w:type="dxa" w:w="2600"/>
          </w:tcPr>
          <w:p>
            <w:pPr>
              <w:spacing w:after="0" w:line="259" w:lineRule="auto"/>
              <w:jc w:val="left"/>
            </w:pPr>
            <w:r>
              <w:rPr>
                <w:rFonts w:ascii="Calibri" w:hAnsi="Calibri"/>
                <w:color w:val="1B2623"/>
                <w:sz w:val="16"/>
              </w:rPr>
              <w:t>retest-comparison</w:t>
            </w:r>
          </w:p>
        </w:tc>
        <w:tc>
          <w:tcPr>
            <w:tcW w:type="dxa" w:w="4100"/>
          </w:tcPr>
          <w:p>
            <w:pPr>
              <w:spacing w:after="0" w:line="259" w:lineRule="auto"/>
              <w:jc w:val="left"/>
            </w:pPr>
            <w:r>
              <w:rPr>
                <w:rFonts w:ascii="Calibri" w:hAnsi="Calibri"/>
                <w:color w:val="1B2623"/>
                <w:sz w:val="16"/>
              </w:rPr>
              <w:t>Snapshot comparison and next questions.</w:t>
            </w:r>
          </w:p>
        </w:tc>
        <w:tc>
          <w:tcPr>
            <w:tcW w:type="dxa" w:w="2660"/>
          </w:tcPr>
          <w:p>
            <w:pPr>
              <w:spacing w:after="0" w:line="259" w:lineRule="auto"/>
              <w:jc w:val="left"/>
            </w:pPr>
            <w:r>
              <w:rPr>
                <w:rFonts w:ascii="Calibri" w:hAnsi="Calibri"/>
                <w:color w:val="1B2623"/>
                <w:sz w:val="16"/>
              </w:rPr>
              <w:t>No diagnosis, prognosis or attribution.</w:t>
            </w:r>
          </w:p>
        </w:tc>
      </w:tr>
      <w:tr>
        <w:tc>
          <w:tcPr>
            <w:tcW w:type="dxa" w:w="2600"/>
            <w:shd w:fill="F4F6F5"/>
          </w:tcPr>
          <w:p>
            <w:pPr>
              <w:spacing w:after="0" w:line="259" w:lineRule="auto"/>
              <w:jc w:val="left"/>
            </w:pPr>
            <w:r>
              <w:rPr>
                <w:rFonts w:ascii="Calibri" w:hAnsi="Calibri"/>
                <w:color w:val="1B2623"/>
                <w:sz w:val="16"/>
              </w:rPr>
              <w:t>data-rights</w:t>
            </w:r>
          </w:p>
        </w:tc>
        <w:tc>
          <w:tcPr>
            <w:tcW w:type="dxa" w:w="4100"/>
            <w:shd w:fill="F4F6F5"/>
          </w:tcPr>
          <w:p>
            <w:pPr>
              <w:spacing w:after="0" w:line="259" w:lineRule="auto"/>
              <w:jc w:val="left"/>
            </w:pPr>
            <w:r>
              <w:rPr>
                <w:rFonts w:ascii="Calibri" w:hAnsi="Calibri"/>
                <w:color w:val="1B2623"/>
                <w:sz w:val="16"/>
              </w:rPr>
              <w:t>Export, correction, consent change and deletion workflow.</w:t>
            </w:r>
          </w:p>
        </w:tc>
        <w:tc>
          <w:tcPr>
            <w:tcW w:type="dxa" w:w="2660"/>
            <w:shd w:fill="F4F6F5"/>
          </w:tcPr>
          <w:p>
            <w:pPr>
              <w:spacing w:after="0" w:line="259" w:lineRule="auto"/>
              <w:jc w:val="left"/>
            </w:pPr>
            <w:r>
              <w:rPr>
                <w:rFonts w:ascii="Calibri" w:hAnsi="Calibri"/>
                <w:color w:val="1B2623"/>
                <w:sz w:val="16"/>
              </w:rPr>
              <w:t>Identity verification + complete audit.</w:t>
            </w:r>
          </w:p>
        </w:tc>
      </w:tr>
    </w:tbl>
    <w:p>
      <w:pPr>
        <w:pStyle w:val="Heading2"/>
      </w:pPr>
      <w:r>
        <w:t>Persistent agents</w:t>
      </w:r>
    </w:p>
    <w:tbl>
      <w:tblPr>
        <w:tblW w:type="dxa" w:w="9360"/>
        <w:jc w:val="left"/>
        <w:tblLayout w:type="fixed"/>
        <w:tblLook w:firstColumn="1" w:firstRow="1" w:lastColumn="0" w:lastRow="0" w:noHBand="0" w:noVBand="1" w:val="04A0"/>
        <w:tblInd w:w="120" w:type="dxa"/>
        <w:tblBorders>
          <w:top w:val="single" w:sz="5" w:space="0" w:color="D8DEDB"/>
          <w:left w:val="single" w:sz="5" w:space="0" w:color="D8DEDB"/>
          <w:bottom w:val="single" w:sz="5" w:space="0" w:color="D8DEDB"/>
          <w:right w:val="single" w:sz="5" w:space="0" w:color="D8DEDB"/>
          <w:insideH w:val="single" w:sz="5" w:space="0" w:color="D8DEDB"/>
          <w:insideV w:val="single" w:sz="5" w:space="0" w:color="D8DEDB"/>
        </w:tblBorders>
      </w:tblPr>
      <w:tblGrid>
        <w:gridCol w:w="2450"/>
        <w:gridCol w:w="4700"/>
        <w:gridCol w:w="2210"/>
      </w:tblGrid>
      <w:tr>
        <w:trPr>
          <w:tblHeader/>
        </w:trPr>
        <w:tc>
          <w:tcPr>
            <w:tcW w:type="dxa" w:w="245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Agent</w:t>
            </w:r>
          </w:p>
        </w:tc>
        <w:tc>
          <w:tcPr>
            <w:tcW w:type="dxa" w:w="47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Responsibility</w:t>
            </w:r>
          </w:p>
        </w:tc>
        <w:tc>
          <w:tcPr>
            <w:tcW w:type="dxa" w:w="221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Escalates to</w:t>
            </w:r>
          </w:p>
        </w:tc>
      </w:tr>
      <w:tr>
        <w:tc>
          <w:tcPr>
            <w:tcW w:type="dxa" w:w="2450"/>
          </w:tcPr>
          <w:p>
            <w:pPr>
              <w:spacing w:after="0" w:line="259" w:lineRule="auto"/>
              <w:jc w:val="left"/>
            </w:pPr>
            <w:r>
              <w:rPr>
                <w:rFonts w:ascii="Calibri" w:hAnsi="Calibri"/>
                <w:color w:val="1B2623"/>
                <w:sz w:val="17"/>
              </w:rPr>
              <w:t>Family Journey Guide</w:t>
            </w:r>
          </w:p>
        </w:tc>
        <w:tc>
          <w:tcPr>
            <w:tcW w:type="dxa" w:w="4700"/>
          </w:tcPr>
          <w:p>
            <w:pPr>
              <w:spacing w:after="0" w:line="259" w:lineRule="auto"/>
              <w:jc w:val="left"/>
            </w:pPr>
            <w:r>
              <w:rPr>
                <w:rFonts w:ascii="Calibri" w:hAnsi="Calibri"/>
                <w:color w:val="1B2623"/>
                <w:sz w:val="17"/>
              </w:rPr>
              <w:t>Owns the parent’s current stage, next action, memory scope and output contract.</w:t>
            </w:r>
          </w:p>
        </w:tc>
        <w:tc>
          <w:tcPr>
            <w:tcW w:type="dxa" w:w="2210"/>
          </w:tcPr>
          <w:p>
            <w:pPr>
              <w:spacing w:after="0" w:line="259" w:lineRule="auto"/>
              <w:jc w:val="left"/>
            </w:pPr>
            <w:r>
              <w:rPr>
                <w:rFonts w:ascii="Calibri" w:hAnsi="Calibri"/>
                <w:color w:val="1B2623"/>
                <w:sz w:val="17"/>
              </w:rPr>
              <w:t>Coach or support.</w:t>
            </w:r>
          </w:p>
        </w:tc>
      </w:tr>
      <w:tr>
        <w:tc>
          <w:tcPr>
            <w:tcW w:type="dxa" w:w="2450"/>
            <w:shd w:fill="F4F6F5"/>
          </w:tcPr>
          <w:p>
            <w:pPr>
              <w:spacing w:after="0" w:line="259" w:lineRule="auto"/>
              <w:jc w:val="left"/>
            </w:pPr>
            <w:r>
              <w:rPr>
                <w:rFonts w:ascii="Calibri" w:hAnsi="Calibri"/>
                <w:color w:val="1B2623"/>
                <w:sz w:val="17"/>
              </w:rPr>
              <w:t>Evidence &amp; Claims Guardian</w:t>
            </w:r>
          </w:p>
        </w:tc>
        <w:tc>
          <w:tcPr>
            <w:tcW w:type="dxa" w:w="4700"/>
            <w:shd w:fill="F4F6F5"/>
          </w:tcPr>
          <w:p>
            <w:pPr>
              <w:spacing w:after="0" w:line="259" w:lineRule="auto"/>
              <w:jc w:val="left"/>
            </w:pPr>
            <w:r>
              <w:rPr>
                <w:rFonts w:ascii="Calibri" w:hAnsi="Calibri"/>
                <w:color w:val="1B2623"/>
                <w:sz w:val="17"/>
              </w:rPr>
              <w:t>Allows only approved claims and wording from the current evidence release.</w:t>
            </w:r>
          </w:p>
        </w:tc>
        <w:tc>
          <w:tcPr>
            <w:tcW w:type="dxa" w:w="2210"/>
            <w:shd w:fill="F4F6F5"/>
          </w:tcPr>
          <w:p>
            <w:pPr>
              <w:spacing w:after="0" w:line="259" w:lineRule="auto"/>
              <w:jc w:val="left"/>
            </w:pPr>
            <w:r>
              <w:rPr>
                <w:rFonts w:ascii="Calibri" w:hAnsi="Calibri"/>
                <w:color w:val="1B2623"/>
                <w:sz w:val="17"/>
              </w:rPr>
              <w:t>Alba science lead.</w:t>
            </w:r>
          </w:p>
        </w:tc>
      </w:tr>
      <w:tr>
        <w:tc>
          <w:tcPr>
            <w:tcW w:type="dxa" w:w="2450"/>
          </w:tcPr>
          <w:p>
            <w:pPr>
              <w:spacing w:after="0" w:line="259" w:lineRule="auto"/>
              <w:jc w:val="left"/>
            </w:pPr>
            <w:r>
              <w:rPr>
                <w:rFonts w:ascii="Calibri" w:hAnsi="Calibri"/>
                <w:color w:val="1B2623"/>
                <w:sz w:val="17"/>
              </w:rPr>
              <w:t>Safety &amp; Consent Guardian</w:t>
            </w:r>
          </w:p>
        </w:tc>
        <w:tc>
          <w:tcPr>
            <w:tcW w:type="dxa" w:w="4700"/>
          </w:tcPr>
          <w:p>
            <w:pPr>
              <w:spacing w:after="0" w:line="259" w:lineRule="auto"/>
              <w:jc w:val="left"/>
            </w:pPr>
            <w:r>
              <w:rPr>
                <w:rFonts w:ascii="Calibri" w:hAnsi="Calibri"/>
                <w:color w:val="1B2623"/>
                <w:sz w:val="17"/>
              </w:rPr>
              <w:t>Enforces scope, authority, tenant isolation, refusal and static care routing.</w:t>
            </w:r>
          </w:p>
        </w:tc>
        <w:tc>
          <w:tcPr>
            <w:tcW w:type="dxa" w:w="2210"/>
          </w:tcPr>
          <w:p>
            <w:pPr>
              <w:spacing w:after="0" w:line="259" w:lineRule="auto"/>
              <w:jc w:val="left"/>
            </w:pPr>
            <w:r>
              <w:rPr>
                <w:rFonts w:ascii="Calibri" w:hAnsi="Calibri"/>
                <w:color w:val="1B2623"/>
                <w:sz w:val="17"/>
              </w:rPr>
              <w:t>Privacy/clinical owner.</w:t>
            </w:r>
          </w:p>
        </w:tc>
      </w:tr>
      <w:tr>
        <w:tc>
          <w:tcPr>
            <w:tcW w:type="dxa" w:w="2450"/>
            <w:shd w:fill="F4F6F5"/>
          </w:tcPr>
          <w:p>
            <w:pPr>
              <w:spacing w:after="0" w:line="259" w:lineRule="auto"/>
              <w:jc w:val="left"/>
            </w:pPr>
            <w:r>
              <w:rPr>
                <w:rFonts w:ascii="Calibri" w:hAnsi="Calibri"/>
                <w:color w:val="1B2623"/>
                <w:sz w:val="17"/>
              </w:rPr>
              <w:t>Coach Copilot</w:t>
            </w:r>
          </w:p>
        </w:tc>
        <w:tc>
          <w:tcPr>
            <w:tcW w:type="dxa" w:w="4700"/>
            <w:shd w:fill="F4F6F5"/>
          </w:tcPr>
          <w:p>
            <w:pPr>
              <w:spacing w:after="0" w:line="259" w:lineRule="auto"/>
              <w:jc w:val="left"/>
            </w:pPr>
            <w:r>
              <w:rPr>
                <w:rFonts w:ascii="Calibri" w:hAnsi="Calibri"/>
                <w:color w:val="1B2623"/>
                <w:sz w:val="17"/>
              </w:rPr>
              <w:t>Builds briefs, surfaces exceptions and records human overrides.</w:t>
            </w:r>
          </w:p>
        </w:tc>
        <w:tc>
          <w:tcPr>
            <w:tcW w:type="dxa" w:w="2210"/>
            <w:shd w:fill="F4F6F5"/>
          </w:tcPr>
          <w:p>
            <w:pPr>
              <w:spacing w:after="0" w:line="259" w:lineRule="auto"/>
              <w:jc w:val="left"/>
            </w:pPr>
            <w:r>
              <w:rPr>
                <w:rFonts w:ascii="Calibri" w:hAnsi="Calibri"/>
                <w:color w:val="1B2623"/>
                <w:sz w:val="17"/>
              </w:rPr>
              <w:t>Assigned coach.</w:t>
            </w:r>
          </w:p>
        </w:tc>
      </w:tr>
      <w:tr>
        <w:tc>
          <w:tcPr>
            <w:tcW w:type="dxa" w:w="2450"/>
          </w:tcPr>
          <w:p>
            <w:pPr>
              <w:spacing w:after="0" w:line="259" w:lineRule="auto"/>
              <w:jc w:val="left"/>
            </w:pPr>
            <w:r>
              <w:rPr>
                <w:rFonts w:ascii="Calibri" w:hAnsi="Calibri"/>
                <w:color w:val="1B2623"/>
                <w:sz w:val="17"/>
              </w:rPr>
              <w:t>Outcomes Steward</w:t>
            </w:r>
          </w:p>
        </w:tc>
        <w:tc>
          <w:tcPr>
            <w:tcW w:type="dxa" w:w="4700"/>
          </w:tcPr>
          <w:p>
            <w:pPr>
              <w:spacing w:after="0" w:line="259" w:lineRule="auto"/>
              <w:jc w:val="left"/>
            </w:pPr>
            <w:r>
              <w:rPr>
                <w:rFonts w:ascii="Calibri" w:hAnsi="Calibri"/>
                <w:color w:val="1B2623"/>
                <w:sz w:val="17"/>
              </w:rPr>
              <w:t>Computes aggregate product metrics from separately governed data.</w:t>
            </w:r>
          </w:p>
        </w:tc>
        <w:tc>
          <w:tcPr>
            <w:tcW w:type="dxa" w:w="2210"/>
          </w:tcPr>
          <w:p>
            <w:pPr>
              <w:spacing w:after="0" w:line="259" w:lineRule="auto"/>
              <w:jc w:val="left"/>
            </w:pPr>
            <w:r>
              <w:rPr>
                <w:rFonts w:ascii="Calibri" w:hAnsi="Calibri"/>
                <w:color w:val="1B2623"/>
                <w:sz w:val="17"/>
              </w:rPr>
              <w:t>Product/research governance.</w:t>
            </w:r>
          </w:p>
        </w:tc>
      </w:tr>
    </w:tbl>
    <w:p>
      <w:pPr>
        <w:spacing w:line="288" w:lineRule="auto" w:before="160" w:after="200"/>
        <w:shd w:fill="F3F1E9"/>
        <w:pBdr>
          <w:left w:val="single" w:sz="18" w:space="8" w:color="D99B6C"/>
        </w:pBdr>
        <w:ind w:left="230" w:right="115"/>
      </w:pPr>
      <w:r>
        <w:rPr>
          <w:rFonts w:ascii="Calibri" w:hAnsi="Calibri"/>
          <w:b/>
          <w:color w:val="173F35"/>
          <w:sz w:val="21"/>
        </w:rPr>
        <w:t xml:space="preserve">DISTRIBUTION RULE  </w:t>
      </w:r>
      <w:r>
        <w:rPr>
          <w:rFonts w:ascii="Calibri" w:hAnsi="Calibri"/>
          <w:color w:val="1B2623"/>
          <w:sz w:val="21"/>
        </w:rPr>
        <w:t>Personalised packs launch inside the Alba app. A public ChatGPT/website companion may teach generic gut habits but must collect no child health data. Portability comes later, after the Alba adapter, consent model and eval suite are proven.</w:t>
      </w:r>
    </w:p>
    <w:p>
      <w:r>
        <w:br w:type="page"/>
      </w:r>
    </w:p>
    <w:p>
      <w:pPr>
        <w:pStyle w:val="Heading1"/>
      </w:pPr>
      <w:r>
        <w:t>7. What to reuse—and what not to</w:t>
      </w:r>
    </w:p>
    <w:tbl>
      <w:tblPr>
        <w:tblW w:type="dxa" w:w="9360"/>
        <w:jc w:val="left"/>
        <w:tblLayout w:type="fixed"/>
        <w:tblLook w:firstColumn="1" w:firstRow="1" w:lastColumn="0" w:lastRow="0" w:noHBand="0" w:noVBand="1" w:val="04A0"/>
        <w:tblInd w:w="120" w:type="dxa"/>
        <w:tblBorders>
          <w:top w:val="single" w:sz="5" w:space="0" w:color="D8DEDB"/>
          <w:left w:val="single" w:sz="5" w:space="0" w:color="D8DEDB"/>
          <w:bottom w:val="single" w:sz="5" w:space="0" w:color="D8DEDB"/>
          <w:right w:val="single" w:sz="5" w:space="0" w:color="D8DEDB"/>
          <w:insideH w:val="single" w:sz="5" w:space="0" w:color="D8DEDB"/>
          <w:insideV w:val="single" w:sz="5" w:space="0" w:color="D8DEDB"/>
        </w:tblBorders>
      </w:tblPr>
      <w:tblGrid>
        <w:gridCol w:w="2200"/>
        <w:gridCol w:w="4400"/>
        <w:gridCol w:w="2760"/>
      </w:tblGrid>
      <w:tr>
        <w:trPr>
          <w:tblHeader/>
        </w:trPr>
        <w:tc>
          <w:tcPr>
            <w:tcW w:type="dxa" w:w="22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6"/>
              </w:rPr>
              <w:t>Asset</w:t>
            </w:r>
          </w:p>
        </w:tc>
        <w:tc>
          <w:tcPr>
            <w:tcW w:type="dxa" w:w="44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6"/>
              </w:rPr>
              <w:t>Observed maturity</w:t>
            </w:r>
          </w:p>
        </w:tc>
        <w:tc>
          <w:tcPr>
            <w:tcW w:type="dxa" w:w="276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6"/>
              </w:rPr>
              <w:t>Decision</w:t>
            </w:r>
          </w:p>
        </w:tc>
      </w:tr>
      <w:tr>
        <w:tc>
          <w:tcPr>
            <w:tcW w:type="dxa" w:w="2200"/>
          </w:tcPr>
          <w:p>
            <w:pPr>
              <w:spacing w:after="0" w:line="259" w:lineRule="auto"/>
              <w:jc w:val="left"/>
            </w:pPr>
            <w:r>
              <w:rPr>
                <w:rFonts w:ascii="Calibri" w:hAnsi="Calibri"/>
                <w:color w:val="1B2623"/>
                <w:sz w:val="16"/>
              </w:rPr>
              <w:t>Health Intelligence System v0.2.1</w:t>
            </w:r>
          </w:p>
        </w:tc>
        <w:tc>
          <w:tcPr>
            <w:tcW w:type="dxa" w:w="4400"/>
          </w:tcPr>
          <w:p>
            <w:pPr>
              <w:spacing w:after="0" w:line="259" w:lineRule="auto"/>
              <w:jc w:val="left"/>
            </w:pPr>
            <w:r>
              <w:rPr>
                <w:rFonts w:ascii="Calibri" w:hAnsi="Calibri"/>
                <w:color w:val="1B2623"/>
                <w:sz w:val="16"/>
              </w:rPr>
              <w:t>Strong public protocol: versioned agent pack, local/private vault patterns, clinician handoff, privacy tiers, safety boundary and release verification.[11]</w:t>
            </w:r>
          </w:p>
        </w:tc>
        <w:tc>
          <w:tcPr>
            <w:tcW w:type="dxa" w:w="2760"/>
          </w:tcPr>
          <w:p>
            <w:pPr>
              <w:spacing w:after="0" w:line="259" w:lineRule="auto"/>
              <w:jc w:val="left"/>
            </w:pPr>
            <w:r>
              <w:rPr>
                <w:rFonts w:ascii="Calibri" w:hAnsi="Calibri"/>
                <w:color w:val="1B2623"/>
                <w:sz w:val="16"/>
              </w:rPr>
              <w:t>Reuse safety, privacy, workflow and package contracts. Add gut-specific policies and evals.</w:t>
            </w:r>
          </w:p>
        </w:tc>
      </w:tr>
      <w:tr>
        <w:tc>
          <w:tcPr>
            <w:tcW w:type="dxa" w:w="2200"/>
            <w:shd w:fill="F4F6F5"/>
          </w:tcPr>
          <w:p>
            <w:pPr>
              <w:spacing w:after="0" w:line="259" w:lineRule="auto"/>
              <w:jc w:val="left"/>
            </w:pPr>
            <w:r>
              <w:rPr>
                <w:rFonts w:ascii="Calibri" w:hAnsi="Calibri"/>
                <w:color w:val="1B2623"/>
                <w:sz w:val="16"/>
              </w:rPr>
              <w:t>Starlight Intelligence System</w:t>
            </w:r>
          </w:p>
        </w:tc>
        <w:tc>
          <w:tcPr>
            <w:tcW w:type="dxa" w:w="4400"/>
            <w:shd w:fill="F4F6F5"/>
          </w:tcPr>
          <w:p>
            <w:pPr>
              <w:spacing w:after="0" w:line="259" w:lineRule="auto"/>
              <w:jc w:val="left"/>
            </w:pPr>
            <w:r>
              <w:rPr>
                <w:rFonts w:ascii="Calibri" w:hAnsi="Calibri"/>
                <w:color w:val="1B2623"/>
                <w:sz w:val="16"/>
              </w:rPr>
              <w:t>Strong substrate: SIP memory/governance contract, skills/agents, MCP, orchestration, eval and attestation direction.[12]</w:t>
            </w:r>
          </w:p>
        </w:tc>
        <w:tc>
          <w:tcPr>
            <w:tcW w:type="dxa" w:w="2760"/>
            <w:shd w:fill="F4F6F5"/>
          </w:tcPr>
          <w:p>
            <w:pPr>
              <w:spacing w:after="0" w:line="259" w:lineRule="auto"/>
              <w:jc w:val="left"/>
            </w:pPr>
            <w:r>
              <w:rPr>
                <w:rFonts w:ascii="Calibri" w:hAnsi="Calibri"/>
                <w:color w:val="1B2623"/>
                <w:sz w:val="16"/>
              </w:rPr>
              <w:t>Reuse as compiler/control plane. Keep it out of raw child data.</w:t>
            </w:r>
          </w:p>
        </w:tc>
      </w:tr>
      <w:tr>
        <w:tc>
          <w:tcPr>
            <w:tcW w:type="dxa" w:w="2200"/>
          </w:tcPr>
          <w:p>
            <w:pPr>
              <w:spacing w:after="0" w:line="259" w:lineRule="auto"/>
              <w:jc w:val="left"/>
            </w:pPr>
            <w:r>
              <w:rPr>
                <w:rFonts w:ascii="Calibri" w:hAnsi="Calibri"/>
                <w:color w:val="1B2623"/>
                <w:sz w:val="16"/>
              </w:rPr>
              <w:t>Starlight Foundry v0.1</w:t>
            </w:r>
          </w:p>
        </w:tc>
        <w:tc>
          <w:tcPr>
            <w:tcW w:type="dxa" w:w="4400"/>
          </w:tcPr>
          <w:p>
            <w:pPr>
              <w:spacing w:after="0" w:line="259" w:lineRule="auto"/>
              <w:jc w:val="left"/>
            </w:pPr>
            <w:r>
              <w:rPr>
                <w:rFonts w:ascii="Calibri" w:hAnsi="Calibri"/>
                <w:color w:val="1B2623"/>
                <w:sz w:val="16"/>
              </w:rPr>
              <w:t>Clear canonical vertical-pack contract, TaskEnvelope, capability graph, Proving Ground and evidence receipts.[13]</w:t>
            </w:r>
          </w:p>
        </w:tc>
        <w:tc>
          <w:tcPr>
            <w:tcW w:type="dxa" w:w="2760"/>
          </w:tcPr>
          <w:p>
            <w:pPr>
              <w:spacing w:after="0" w:line="259" w:lineRule="auto"/>
              <w:jc w:val="left"/>
            </w:pPr>
            <w:r>
              <w:rPr>
                <w:rFonts w:ascii="Calibri" w:hAnsi="Calibri"/>
                <w:color w:val="1B2623"/>
                <w:sz w:val="16"/>
              </w:rPr>
              <w:t>Use as the packaging and evaluation standard.</w:t>
            </w:r>
          </w:p>
        </w:tc>
      </w:tr>
      <w:tr>
        <w:tc>
          <w:tcPr>
            <w:tcW w:type="dxa" w:w="2200"/>
            <w:shd w:fill="F4F6F5"/>
          </w:tcPr>
          <w:p>
            <w:pPr>
              <w:spacing w:after="0" w:line="259" w:lineRule="auto"/>
              <w:jc w:val="left"/>
            </w:pPr>
            <w:r>
              <w:rPr>
                <w:rFonts w:ascii="Calibri" w:hAnsi="Calibri"/>
                <w:color w:val="1B2623"/>
                <w:sz w:val="16"/>
              </w:rPr>
              <w:t>Agentic Health OS runtime</w:t>
            </w:r>
          </w:p>
        </w:tc>
        <w:tc>
          <w:tcPr>
            <w:tcW w:type="dxa" w:w="4400"/>
            <w:shd w:fill="F4F6F5"/>
          </w:tcPr>
          <w:p>
            <w:pPr>
              <w:spacing w:after="0" w:line="259" w:lineRule="auto"/>
              <w:jc w:val="left"/>
            </w:pPr>
            <w:r>
              <w:rPr>
                <w:rFonts w:ascii="Calibri" w:hAnsi="Calibri"/>
                <w:color w:val="1B2623"/>
                <w:sz w:val="16"/>
              </w:rPr>
              <w:t>Thin TypeScript science-gateway stub with placeholder results and no parent journey, database, policy engine or production integration.[14]</w:t>
            </w:r>
          </w:p>
        </w:tc>
        <w:tc>
          <w:tcPr>
            <w:tcW w:type="dxa" w:w="2760"/>
            <w:shd w:fill="F4F6F5"/>
          </w:tcPr>
          <w:p>
            <w:pPr>
              <w:spacing w:after="0" w:line="259" w:lineRule="auto"/>
              <w:jc w:val="left"/>
            </w:pPr>
            <w:r>
              <w:rPr>
                <w:rFonts w:ascii="Calibri" w:hAnsi="Calibri"/>
                <w:color w:val="1B2623"/>
                <w:sz w:val="16"/>
              </w:rPr>
              <w:t>Do not extend for Alba. Quarantine placeholder clinical outputs; build a new private vertical runtime.</w:t>
            </w:r>
          </w:p>
        </w:tc>
      </w:tr>
      <w:tr>
        <w:tc>
          <w:tcPr>
            <w:tcW w:type="dxa" w:w="2200"/>
          </w:tcPr>
          <w:p>
            <w:pPr>
              <w:spacing w:after="0" w:line="259" w:lineRule="auto"/>
              <w:jc w:val="left"/>
            </w:pPr>
            <w:r>
              <w:rPr>
                <w:rFonts w:ascii="Calibri" w:hAnsi="Calibri"/>
                <w:color w:val="1B2623"/>
                <w:sz w:val="16"/>
              </w:rPr>
              <w:t>Family Intelligence OS</w:t>
            </w:r>
          </w:p>
        </w:tc>
        <w:tc>
          <w:tcPr>
            <w:tcW w:type="dxa" w:w="4400"/>
          </w:tcPr>
          <w:p>
            <w:pPr>
              <w:spacing w:after="0" w:line="259" w:lineRule="auto"/>
              <w:jc w:val="left"/>
            </w:pPr>
            <w:r>
              <w:rPr>
                <w:rFonts w:ascii="Calibri" w:hAnsi="Calibri"/>
                <w:color w:val="1B2623"/>
                <w:sz w:val="16"/>
              </w:rPr>
              <w:t>Useful deny-by-default policy, controlled MCP gateway, audit and family-role patterns.[15]</w:t>
            </w:r>
          </w:p>
        </w:tc>
        <w:tc>
          <w:tcPr>
            <w:tcW w:type="dxa" w:w="2760"/>
          </w:tcPr>
          <w:p>
            <w:pPr>
              <w:spacing w:after="0" w:line="259" w:lineRule="auto"/>
              <w:jc w:val="left"/>
            </w:pPr>
            <w:r>
              <w:rPr>
                <w:rFonts w:ascii="Calibri" w:hAnsi="Calibri"/>
                <w:color w:val="1B2623"/>
                <w:sz w:val="16"/>
              </w:rPr>
              <w:t>Reuse role/consent/audit patterns, not genealogy product scope.</w:t>
            </w:r>
          </w:p>
        </w:tc>
      </w:tr>
      <w:tr>
        <w:tc>
          <w:tcPr>
            <w:tcW w:type="dxa" w:w="2200"/>
            <w:shd w:fill="F4F6F5"/>
          </w:tcPr>
          <w:p>
            <w:pPr>
              <w:spacing w:after="0" w:line="259" w:lineRule="auto"/>
              <w:jc w:val="left"/>
            </w:pPr>
            <w:r>
              <w:rPr>
                <w:rFonts w:ascii="Calibri" w:hAnsi="Calibri"/>
                <w:color w:val="1B2623"/>
                <w:sz w:val="16"/>
              </w:rPr>
              <w:t>Starlight Knowledge Tree</w:t>
            </w:r>
          </w:p>
        </w:tc>
        <w:tc>
          <w:tcPr>
            <w:tcW w:type="dxa" w:w="4400"/>
            <w:shd w:fill="F4F6F5"/>
          </w:tcPr>
          <w:p>
            <w:pPr>
              <w:spacing w:after="0" w:line="259" w:lineRule="auto"/>
              <w:jc w:val="left"/>
            </w:pPr>
            <w:r>
              <w:rPr>
                <w:rFonts w:ascii="Calibri" w:hAnsi="Calibri"/>
                <w:color w:val="1B2623"/>
                <w:sz w:val="16"/>
              </w:rPr>
              <w:t>Useful public ontology and evidence graph; explicitly excludes private health data.[16]</w:t>
            </w:r>
          </w:p>
        </w:tc>
        <w:tc>
          <w:tcPr>
            <w:tcW w:type="dxa" w:w="2760"/>
            <w:shd w:fill="F4F6F5"/>
          </w:tcPr>
          <w:p>
            <w:pPr>
              <w:spacing w:after="0" w:line="259" w:lineRule="auto"/>
              <w:jc w:val="left"/>
            </w:pPr>
            <w:r>
              <w:rPr>
                <w:rFonts w:ascii="Calibri" w:hAnsi="Calibri"/>
                <w:color w:val="1B2623"/>
                <w:sz w:val="16"/>
              </w:rPr>
              <w:t>Use for public evidence metadata only; never as family memory.</w:t>
            </w:r>
          </w:p>
        </w:tc>
      </w:tr>
    </w:tbl>
    <w:p>
      <w:pPr>
        <w:pStyle w:val="Heading2"/>
      </w:pPr>
      <w:r>
        <w:t>Repository and deployment decision</w:t>
      </w:r>
    </w:p>
    <w:p>
      <w:pPr>
        <w:pStyle w:val="ListBullet"/>
        <w:jc w:val="left"/>
      </w:pPr>
      <w:r>
        <w:rPr>
          <w:rFonts w:ascii="Calibri" w:hAnsi="Calibri"/>
          <w:color w:val="1B2623"/>
          <w:sz w:val="21"/>
        </w:rPr>
        <w:t>Create one private, vendor-neutral `gut-intelligence-vertical` package because health data, regulated claims, customer isolation and independent release gates justify the boundary.</w:t>
      </w:r>
    </w:p>
    <w:p>
      <w:pPr>
        <w:pStyle w:val="ListBullet"/>
        <w:jc w:val="left"/>
      </w:pPr>
      <w:r>
        <w:rPr>
          <w:rFonts w:ascii="Calibri" w:hAnsi="Calibri"/>
          <w:color w:val="1B2623"/>
          <w:sz w:val="21"/>
        </w:rPr>
        <w:t>Integrate it into Alba’s existing backend/app through narrow typed APIs; do not create a second parent app.</w:t>
      </w:r>
    </w:p>
    <w:p>
      <w:pPr>
        <w:pStyle w:val="ListBullet"/>
        <w:jc w:val="left"/>
      </w:pPr>
      <w:r>
        <w:rPr>
          <w:rFonts w:ascii="Calibri" w:hAnsi="Calibri"/>
          <w:color w:val="1B2623"/>
          <w:sz w:val="21"/>
        </w:rPr>
        <w:t>Contribute only generic, non-customer safety patterns upstream to the public Health Intelligence System.</w:t>
      </w:r>
    </w:p>
    <w:p>
      <w:pPr>
        <w:pStyle w:val="ListBullet"/>
        <w:jc w:val="left"/>
      </w:pPr>
      <w:r>
        <w:rPr>
          <w:rFonts w:ascii="Calibri" w:hAnsi="Calibri"/>
          <w:color w:val="1B2623"/>
          <w:sz w:val="21"/>
        </w:rPr>
        <w:t>Keep Alba-specific claims, recipes, test mappings, golden cases and outcome logic private and versioned.</w:t>
      </w:r>
    </w:p>
    <w:p>
      <w:pPr>
        <w:spacing w:line="288" w:lineRule="auto" w:before="160" w:after="200"/>
        <w:shd w:fill="F8EDE9"/>
        <w:pBdr>
          <w:left w:val="single" w:sz="18" w:space="8" w:color="9C3D3D"/>
        </w:pBdr>
        <w:ind w:left="230" w:right="115"/>
      </w:pPr>
      <w:r>
        <w:rPr>
          <w:rFonts w:ascii="Calibri" w:hAnsi="Calibri"/>
          <w:b/>
          <w:color w:val="173F35"/>
          <w:sz w:val="21"/>
        </w:rPr>
        <w:t xml:space="preserve">NON-NEGOTIABLE REPAIR  </w:t>
      </w:r>
      <w:r>
        <w:rPr>
          <w:rFonts w:ascii="Calibri" w:hAnsi="Calibri"/>
          <w:color w:val="1B2623"/>
          <w:sz w:val="21"/>
        </w:rPr>
        <w:t>The existing Agentic Health OS placeholder can return a hard-coded pathogenic BRCA1 interpretation. That class of mock must be deleted or made structurally impossible before any health runtime is presented as active.</w:t>
      </w:r>
    </w:p>
    <w:p>
      <w:r>
        <w:br w:type="page"/>
      </w:r>
    </w:p>
    <w:p>
      <w:pPr>
        <w:pStyle w:val="Heading1"/>
      </w:pPr>
      <w:r>
        <w:t>8. Evidence, safety and regulatory posture</w:t>
      </w:r>
    </w:p>
    <w:p>
      <w:r>
        <w:rPr>
          <w:rFonts w:ascii="Calibri" w:hAnsi="Calibri"/>
          <w:color w:val="1B2623"/>
        </w:rPr>
        <w:t>Alba’s current terms intentionally position the test and app as general health and wellness, not medical advice. Preserve that intended purpose unless Alba deliberately enters a medical-device pathway. The boundary must live in system behavior and evaluation—not only disclaimers.[7]</w:t>
      </w:r>
    </w:p>
    <w:p>
      <w:pPr>
        <w:pStyle w:val="Heading2"/>
      </w:pPr>
      <w:r>
        <w:t>Claim architecture</w:t>
      </w:r>
    </w:p>
    <w:tbl>
      <w:tblPr>
        <w:tblW w:type="dxa" w:w="9360"/>
        <w:jc w:val="left"/>
        <w:tblLayout w:type="fixed"/>
        <w:tblLook w:firstColumn="1" w:firstRow="1" w:lastColumn="0" w:lastRow="0" w:noHBand="0" w:noVBand="1" w:val="04A0"/>
        <w:tblInd w:w="120" w:type="dxa"/>
        <w:tblBorders>
          <w:top w:val="single" w:sz="5" w:space="0" w:color="D8DEDB"/>
          <w:left w:val="single" w:sz="5" w:space="0" w:color="D8DEDB"/>
          <w:bottom w:val="single" w:sz="5" w:space="0" w:color="D8DEDB"/>
          <w:right w:val="single" w:sz="5" w:space="0" w:color="D8DEDB"/>
          <w:insideH w:val="single" w:sz="5" w:space="0" w:color="D8DEDB"/>
          <w:insideV w:val="single" w:sz="5" w:space="0" w:color="D8DEDB"/>
        </w:tblBorders>
      </w:tblPr>
      <w:tblGrid>
        <w:gridCol w:w="1500"/>
        <w:gridCol w:w="4500"/>
        <w:gridCol w:w="3360"/>
      </w:tblGrid>
      <w:tr>
        <w:trPr>
          <w:tblHeader/>
        </w:trPr>
        <w:tc>
          <w:tcPr>
            <w:tcW w:type="dxa" w:w="15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Tier</w:t>
            </w:r>
          </w:p>
        </w:tc>
        <w:tc>
          <w:tcPr>
            <w:tcW w:type="dxa" w:w="45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Allowed system behavior</w:t>
            </w:r>
          </w:p>
        </w:tc>
        <w:tc>
          <w:tcPr>
            <w:tcW w:type="dxa" w:w="336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Example wording</w:t>
            </w:r>
          </w:p>
        </w:tc>
      </w:tr>
      <w:tr>
        <w:tc>
          <w:tcPr>
            <w:tcW w:type="dxa" w:w="1500"/>
          </w:tcPr>
          <w:p>
            <w:pPr>
              <w:spacing w:after="0" w:line="259" w:lineRule="auto"/>
              <w:jc w:val="left"/>
            </w:pPr>
            <w:r>
              <w:rPr>
                <w:rFonts w:ascii="Calibri" w:hAnsi="Calibri"/>
                <w:color w:val="1B2623"/>
                <w:sz w:val="17"/>
              </w:rPr>
              <w:t>A — established</w:t>
            </w:r>
          </w:p>
        </w:tc>
        <w:tc>
          <w:tcPr>
            <w:tcW w:type="dxa" w:w="4500"/>
          </w:tcPr>
          <w:p>
            <w:pPr>
              <w:spacing w:after="0" w:line="259" w:lineRule="auto"/>
              <w:jc w:val="left"/>
            </w:pPr>
            <w:r>
              <w:rPr>
                <w:rFonts w:ascii="Calibri" w:hAnsi="Calibri"/>
                <w:color w:val="1B2623"/>
                <w:sz w:val="17"/>
              </w:rPr>
              <w:t>Approved general nutrition and food-safety guidance for the defined age/population.</w:t>
            </w:r>
          </w:p>
        </w:tc>
        <w:tc>
          <w:tcPr>
            <w:tcW w:type="dxa" w:w="3360"/>
          </w:tcPr>
          <w:p>
            <w:pPr>
              <w:spacing w:after="0" w:line="259" w:lineRule="auto"/>
              <w:jc w:val="left"/>
            </w:pPr>
            <w:r>
              <w:rPr>
                <w:rFonts w:ascii="Calibri" w:hAnsi="Calibri"/>
                <w:color w:val="1B2623"/>
                <w:sz w:val="17"/>
              </w:rPr>
              <w:t>“This plan includes approved fibre sources for this age group.”</w:t>
            </w:r>
          </w:p>
        </w:tc>
      </w:tr>
      <w:tr>
        <w:tc>
          <w:tcPr>
            <w:tcW w:type="dxa" w:w="1500"/>
            <w:shd w:fill="F4F6F5"/>
          </w:tcPr>
          <w:p>
            <w:pPr>
              <w:spacing w:after="0" w:line="259" w:lineRule="auto"/>
              <w:jc w:val="left"/>
            </w:pPr>
            <w:r>
              <w:rPr>
                <w:rFonts w:ascii="Calibri" w:hAnsi="Calibri"/>
                <w:color w:val="1B2623"/>
                <w:sz w:val="17"/>
              </w:rPr>
              <w:t>B — supported association</w:t>
            </w:r>
          </w:p>
        </w:tc>
        <w:tc>
          <w:tcPr>
            <w:tcW w:type="dxa" w:w="4500"/>
            <w:shd w:fill="F4F6F5"/>
          </w:tcPr>
          <w:p>
            <w:pPr>
              <w:spacing w:after="0" w:line="259" w:lineRule="auto"/>
              <w:jc w:val="left"/>
            </w:pPr>
            <w:r>
              <w:rPr>
                <w:rFonts w:ascii="Calibri" w:hAnsi="Calibri"/>
                <w:color w:val="1B2623"/>
                <w:sz w:val="17"/>
              </w:rPr>
              <w:t>Explain association plus limits; no causal claim.</w:t>
            </w:r>
          </w:p>
        </w:tc>
        <w:tc>
          <w:tcPr>
            <w:tcW w:type="dxa" w:w="3360"/>
            <w:shd w:fill="F4F6F5"/>
          </w:tcPr>
          <w:p>
            <w:pPr>
              <w:spacing w:after="0" w:line="259" w:lineRule="auto"/>
              <w:jc w:val="left"/>
            </w:pPr>
            <w:r>
              <w:rPr>
                <w:rFonts w:ascii="Calibri" w:hAnsi="Calibri"/>
                <w:color w:val="1B2623"/>
                <w:sz w:val="17"/>
              </w:rPr>
              <w:t>“This pattern has been associated with…; it does not establish cause.”</w:t>
            </w:r>
          </w:p>
        </w:tc>
      </w:tr>
      <w:tr>
        <w:tc>
          <w:tcPr>
            <w:tcW w:type="dxa" w:w="1500"/>
          </w:tcPr>
          <w:p>
            <w:pPr>
              <w:spacing w:after="0" w:line="259" w:lineRule="auto"/>
              <w:jc w:val="left"/>
            </w:pPr>
            <w:r>
              <w:rPr>
                <w:rFonts w:ascii="Calibri" w:hAnsi="Calibri"/>
                <w:color w:val="1B2623"/>
                <w:sz w:val="17"/>
              </w:rPr>
              <w:t>C — emerging</w:t>
            </w:r>
          </w:p>
        </w:tc>
        <w:tc>
          <w:tcPr>
            <w:tcW w:type="dxa" w:w="4500"/>
          </w:tcPr>
          <w:p>
            <w:pPr>
              <w:spacing w:after="0" w:line="259" w:lineRule="auto"/>
              <w:jc w:val="left"/>
            </w:pPr>
            <w:r>
              <w:rPr>
                <w:rFonts w:ascii="Calibri" w:hAnsi="Calibri"/>
                <w:color w:val="1B2623"/>
                <w:sz w:val="17"/>
              </w:rPr>
              <w:t>Education or coach/science review only.</w:t>
            </w:r>
          </w:p>
        </w:tc>
        <w:tc>
          <w:tcPr>
            <w:tcW w:type="dxa" w:w="3360"/>
          </w:tcPr>
          <w:p>
            <w:pPr>
              <w:spacing w:after="0" w:line="259" w:lineRule="auto"/>
              <w:jc w:val="left"/>
            </w:pPr>
            <w:r>
              <w:rPr>
                <w:rFonts w:ascii="Calibri" w:hAnsi="Calibri"/>
                <w:color w:val="1B2623"/>
                <w:sz w:val="17"/>
              </w:rPr>
              <w:t>“Research is emerging; Alba does not use this as a treatment decision.”</w:t>
            </w:r>
          </w:p>
        </w:tc>
      </w:tr>
      <w:tr>
        <w:tc>
          <w:tcPr>
            <w:tcW w:type="dxa" w:w="1500"/>
            <w:shd w:fill="F4F6F5"/>
          </w:tcPr>
          <w:p>
            <w:pPr>
              <w:spacing w:after="0" w:line="259" w:lineRule="auto"/>
              <w:jc w:val="left"/>
            </w:pPr>
            <w:r>
              <w:rPr>
                <w:rFonts w:ascii="Calibri" w:hAnsi="Calibri"/>
                <w:color w:val="1B2623"/>
                <w:sz w:val="17"/>
              </w:rPr>
              <w:t>D — blocked</w:t>
            </w:r>
          </w:p>
        </w:tc>
        <w:tc>
          <w:tcPr>
            <w:tcW w:type="dxa" w:w="4500"/>
            <w:shd w:fill="F4F6F5"/>
          </w:tcPr>
          <w:p>
            <w:pPr>
              <w:spacing w:after="0" w:line="259" w:lineRule="auto"/>
              <w:jc w:val="left"/>
            </w:pPr>
            <w:r>
              <w:rPr>
                <w:rFonts w:ascii="Calibri" w:hAnsi="Calibri"/>
                <w:color w:val="1B2623"/>
                <w:sz w:val="17"/>
              </w:rPr>
              <w:t>Diagnosis, prognosis, treatment, medication/supplement dosing, emergency triage, unsupported product claims.</w:t>
            </w:r>
          </w:p>
        </w:tc>
        <w:tc>
          <w:tcPr>
            <w:tcW w:type="dxa" w:w="3360"/>
            <w:shd w:fill="F4F6F5"/>
          </w:tcPr>
          <w:p>
            <w:pPr>
              <w:spacing w:after="0" w:line="259" w:lineRule="auto"/>
              <w:jc w:val="left"/>
            </w:pPr>
            <w:r>
              <w:rPr>
                <w:rFonts w:ascii="Calibri" w:hAnsi="Calibri"/>
                <w:color w:val="1B2623"/>
                <w:sz w:val="17"/>
              </w:rPr>
              <w:t>No generated recommendation.</w:t>
            </w:r>
          </w:p>
        </w:tc>
      </w:tr>
    </w:tbl>
    <w:p>
      <w:pPr>
        <w:pStyle w:val="Heading2"/>
      </w:pPr>
      <w:r>
        <w:t>Why the guardrail depth is proportionate</w:t>
      </w:r>
    </w:p>
    <w:p>
      <w:pPr>
        <w:pStyle w:val="ListBullet"/>
        <w:jc w:val="left"/>
      </w:pPr>
      <w:r>
        <w:rPr>
          <w:rFonts w:ascii="Calibri" w:hAnsi="Calibri"/>
          <w:color w:val="1B2623"/>
          <w:sz w:val="21"/>
        </w:rPr>
        <w:t>GDPR treats health data as a special category and gives children specific protection; high-risk processing may require a DPIA.[17]</w:t>
      </w:r>
    </w:p>
    <w:p>
      <w:pPr>
        <w:pStyle w:val="ListBullet"/>
        <w:jc w:val="left"/>
      </w:pPr>
      <w:r>
        <w:rPr>
          <w:rFonts w:ascii="Calibri" w:hAnsi="Calibri"/>
          <w:color w:val="1B2623"/>
          <w:sz w:val="21"/>
        </w:rPr>
        <w:t>The EU AI Act’s chatbot transparency rules apply from 2 August 2026; every conversational surface should clearly identify itself as AI.[18]</w:t>
      </w:r>
    </w:p>
    <w:p>
      <w:pPr>
        <w:pStyle w:val="ListBullet"/>
        <w:jc w:val="left"/>
      </w:pPr>
      <w:r>
        <w:rPr>
          <w:rFonts w:ascii="Calibri" w:hAnsi="Calibri"/>
          <w:color w:val="1B2623"/>
          <w:sz w:val="21"/>
        </w:rPr>
        <w:t>Medical software qualification follows intended purpose and actual functionality. Clinical or treatment claims can move the product into MDR/IVDR and AI Act high-risk territory.[19]</w:t>
      </w:r>
    </w:p>
    <w:p>
      <w:pPr>
        <w:pStyle w:val="ListBullet"/>
        <w:jc w:val="left"/>
      </w:pPr>
      <w:r>
        <w:rPr>
          <w:rFonts w:ascii="Calibri" w:hAnsi="Calibri"/>
          <w:color w:val="1B2623"/>
          <w:sz w:val="21"/>
        </w:rPr>
        <w:t>A 2025 international consensus found insufficient evidence to widely recommend routine microbiome testing in clinical practice; a 2026 NIST-led evaluation found major discrepancies across commercial services.[20][21]</w:t>
      </w:r>
    </w:p>
    <w:p>
      <w:pPr>
        <w:spacing w:line="288" w:lineRule="auto" w:before="160" w:after="200"/>
        <w:shd w:fill="DDE9E1"/>
        <w:pBdr>
          <w:left w:val="single" w:sz="18" w:space="8" w:color="9BB7A5"/>
        </w:pBdr>
        <w:ind w:left="230" w:right="115"/>
      </w:pPr>
      <w:r>
        <w:rPr>
          <w:rFonts w:ascii="Calibri" w:hAnsi="Calibri"/>
          <w:b/>
          <w:color w:val="173F35"/>
          <w:sz w:val="21"/>
        </w:rPr>
        <w:t xml:space="preserve">POSITIONING CONSEQUENCE  </w:t>
      </w:r>
      <w:r>
        <w:rPr>
          <w:rFonts w:ascii="Calibri" w:hAnsi="Calibri"/>
          <w:color w:val="1B2623"/>
          <w:sz w:val="21"/>
        </w:rPr>
        <w:t>The system should maximize practical wellness support while making analytical uncertainty legible. Alba’s scientific advantage becomes more credible when the product can show where evidence ends.</w:t>
      </w:r>
    </w:p>
    <w:p>
      <w:r>
        <w:br w:type="page"/>
      </w:r>
    </w:p>
    <w:p>
      <w:pPr>
        <w:pStyle w:val="Heading1"/>
      </w:pPr>
      <w:r>
        <w:t>9. Product and economic system</w:t>
      </w:r>
    </w:p>
    <w:tbl>
      <w:tblPr>
        <w:tblW w:type="dxa" w:w="9360"/>
        <w:jc w:val="left"/>
        <w:tblLayout w:type="fixed"/>
        <w:tblLook w:firstColumn="1" w:firstRow="1" w:lastColumn="0" w:lastRow="0" w:noHBand="0" w:noVBand="1" w:val="04A0"/>
        <w:tblInd w:w="120" w:type="dxa"/>
        <w:tblBorders>
          <w:top w:val="single" w:sz="5" w:space="0" w:color="D8DEDB"/>
          <w:left w:val="single" w:sz="5" w:space="0" w:color="D8DEDB"/>
          <w:bottom w:val="single" w:sz="5" w:space="0" w:color="D8DEDB"/>
          <w:right w:val="single" w:sz="5" w:space="0" w:color="D8DEDB"/>
          <w:insideH w:val="single" w:sz="5" w:space="0" w:color="D8DEDB"/>
          <w:insideV w:val="single" w:sz="5" w:space="0" w:color="D8DEDB"/>
        </w:tblBorders>
      </w:tblPr>
      <w:tblGrid>
        <w:gridCol w:w="2300"/>
        <w:gridCol w:w="4300"/>
        <w:gridCol w:w="2760"/>
      </w:tblGrid>
      <w:tr>
        <w:trPr>
          <w:tblHeader/>
        </w:trPr>
        <w:tc>
          <w:tcPr>
            <w:tcW w:type="dxa" w:w="23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Offer layer</w:t>
            </w:r>
          </w:p>
        </w:tc>
        <w:tc>
          <w:tcPr>
            <w:tcW w:type="dxa" w:w="43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Buyer promise</w:t>
            </w:r>
          </w:p>
        </w:tc>
        <w:tc>
          <w:tcPr>
            <w:tcW w:type="dxa" w:w="276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Economic role</w:t>
            </w:r>
          </w:p>
        </w:tc>
      </w:tr>
      <w:tr>
        <w:tc>
          <w:tcPr>
            <w:tcW w:type="dxa" w:w="2300"/>
          </w:tcPr>
          <w:p>
            <w:pPr>
              <w:spacing w:after="0" w:line="259" w:lineRule="auto"/>
              <w:jc w:val="left"/>
            </w:pPr>
            <w:r>
              <w:rPr>
                <w:rFonts w:ascii="Calibri" w:hAnsi="Calibri"/>
                <w:color w:val="1B2623"/>
                <w:sz w:val="17"/>
              </w:rPr>
              <w:t>Free Gut Habits Companion</w:t>
            </w:r>
          </w:p>
        </w:tc>
        <w:tc>
          <w:tcPr>
            <w:tcW w:type="dxa" w:w="4300"/>
          </w:tcPr>
          <w:p>
            <w:pPr>
              <w:spacing w:after="0" w:line="259" w:lineRule="auto"/>
              <w:jc w:val="left"/>
            </w:pPr>
            <w:r>
              <w:rPr>
                <w:rFonts w:ascii="Calibri" w:hAnsi="Calibri"/>
                <w:color w:val="1B2623"/>
                <w:sz w:val="17"/>
              </w:rPr>
              <w:t>Understand the category without sharing child health data.</w:t>
            </w:r>
          </w:p>
        </w:tc>
        <w:tc>
          <w:tcPr>
            <w:tcW w:type="dxa" w:w="2760"/>
          </w:tcPr>
          <w:p>
            <w:pPr>
              <w:spacing w:after="0" w:line="259" w:lineRule="auto"/>
              <w:jc w:val="left"/>
            </w:pPr>
            <w:r>
              <w:rPr>
                <w:rFonts w:ascii="Calibri" w:hAnsi="Calibri"/>
                <w:color w:val="1B2623"/>
                <w:sz w:val="17"/>
              </w:rPr>
              <w:t>Qualifies webinar/Instagram demand into test intent.</w:t>
            </w:r>
          </w:p>
        </w:tc>
      </w:tr>
      <w:tr>
        <w:tc>
          <w:tcPr>
            <w:tcW w:type="dxa" w:w="2300"/>
            <w:shd w:fill="F4F6F5"/>
          </w:tcPr>
          <w:p>
            <w:pPr>
              <w:spacing w:after="0" w:line="259" w:lineRule="auto"/>
              <w:jc w:val="left"/>
            </w:pPr>
            <w:r>
              <w:rPr>
                <w:rFonts w:ascii="Calibri" w:hAnsi="Calibri"/>
                <w:color w:val="1B2623"/>
                <w:sz w:val="17"/>
              </w:rPr>
              <w:t>Test + 12-month Journey Pack</w:t>
            </w:r>
          </w:p>
        </w:tc>
        <w:tc>
          <w:tcPr>
            <w:tcW w:type="dxa" w:w="4300"/>
            <w:shd w:fill="F4F6F5"/>
          </w:tcPr>
          <w:p>
            <w:pPr>
              <w:spacing w:after="0" w:line="259" w:lineRule="auto"/>
              <w:jc w:val="left"/>
            </w:pPr>
            <w:r>
              <w:rPr>
                <w:rFonts w:ascii="Calibri" w:hAnsi="Calibri"/>
                <w:color w:val="1B2623"/>
                <w:sz w:val="17"/>
              </w:rPr>
              <w:t>Result, coach and a practical 90-day action loop.</w:t>
            </w:r>
          </w:p>
        </w:tc>
        <w:tc>
          <w:tcPr>
            <w:tcW w:type="dxa" w:w="2760"/>
            <w:shd w:fill="F4F6F5"/>
          </w:tcPr>
          <w:p>
            <w:pPr>
              <w:spacing w:after="0" w:line="259" w:lineRule="auto"/>
              <w:jc w:val="left"/>
            </w:pPr>
            <w:r>
              <w:rPr>
                <w:rFonts w:ascii="Calibri" w:hAnsi="Calibri"/>
                <w:color w:val="1B2623"/>
                <w:sz w:val="17"/>
              </w:rPr>
              <w:t>Raises activation, perceived value and referral quality.</w:t>
            </w:r>
          </w:p>
        </w:tc>
      </w:tr>
      <w:tr>
        <w:tc>
          <w:tcPr>
            <w:tcW w:type="dxa" w:w="2300"/>
          </w:tcPr>
          <w:p>
            <w:pPr>
              <w:spacing w:after="0" w:line="259" w:lineRule="auto"/>
              <w:jc w:val="left"/>
            </w:pPr>
            <w:r>
              <w:rPr>
                <w:rFonts w:ascii="Calibri" w:hAnsi="Calibri"/>
                <w:color w:val="1B2623"/>
                <w:sz w:val="17"/>
              </w:rPr>
              <w:t>Year-two Family Membership</w:t>
            </w:r>
          </w:p>
        </w:tc>
        <w:tc>
          <w:tcPr>
            <w:tcW w:type="dxa" w:w="4300"/>
          </w:tcPr>
          <w:p>
            <w:pPr>
              <w:spacing w:after="0" w:line="259" w:lineRule="auto"/>
              <w:jc w:val="left"/>
            </w:pPr>
            <w:r>
              <w:rPr>
                <w:rFonts w:ascii="Calibri" w:hAnsi="Calibri"/>
                <w:color w:val="1B2623"/>
                <w:sz w:val="17"/>
              </w:rPr>
              <w:t>Retain family memory, planning, seasonal refreshes and coach escalation.</w:t>
            </w:r>
          </w:p>
        </w:tc>
        <w:tc>
          <w:tcPr>
            <w:tcW w:type="dxa" w:w="2760"/>
          </w:tcPr>
          <w:p>
            <w:pPr>
              <w:spacing w:after="0" w:line="259" w:lineRule="auto"/>
              <w:jc w:val="left"/>
            </w:pPr>
            <w:r>
              <w:rPr>
                <w:rFonts w:ascii="Calibri" w:hAnsi="Calibri"/>
                <w:color w:val="1B2623"/>
                <w:sz w:val="17"/>
              </w:rPr>
              <w:t>Creates recurring revenue after included Advisor access.</w:t>
            </w:r>
          </w:p>
        </w:tc>
      </w:tr>
      <w:tr>
        <w:tc>
          <w:tcPr>
            <w:tcW w:type="dxa" w:w="2300"/>
            <w:shd w:fill="F4F6F5"/>
          </w:tcPr>
          <w:p>
            <w:pPr>
              <w:spacing w:after="0" w:line="259" w:lineRule="auto"/>
              <w:jc w:val="left"/>
            </w:pPr>
            <w:r>
              <w:rPr>
                <w:rFonts w:ascii="Calibri" w:hAnsi="Calibri"/>
                <w:color w:val="1B2623"/>
                <w:sz w:val="17"/>
              </w:rPr>
              <w:t>Coach Operations Pack</w:t>
            </w:r>
          </w:p>
        </w:tc>
        <w:tc>
          <w:tcPr>
            <w:tcW w:type="dxa" w:w="4300"/>
            <w:shd w:fill="F4F6F5"/>
          </w:tcPr>
          <w:p>
            <w:pPr>
              <w:spacing w:after="0" w:line="259" w:lineRule="auto"/>
              <w:jc w:val="left"/>
            </w:pPr>
            <w:r>
              <w:rPr>
                <w:rFonts w:ascii="Calibri" w:hAnsi="Calibri"/>
                <w:color w:val="1B2623"/>
                <w:sz w:val="17"/>
              </w:rPr>
              <w:t>Less preparation time; consistent, auditable follow-up.</w:t>
            </w:r>
          </w:p>
        </w:tc>
        <w:tc>
          <w:tcPr>
            <w:tcW w:type="dxa" w:w="2760"/>
            <w:shd w:fill="F4F6F5"/>
          </w:tcPr>
          <w:p>
            <w:pPr>
              <w:spacing w:after="0" w:line="259" w:lineRule="auto"/>
              <w:jc w:val="left"/>
            </w:pPr>
            <w:r>
              <w:rPr>
                <w:rFonts w:ascii="Calibri" w:hAnsi="Calibri"/>
                <w:color w:val="1B2623"/>
                <w:sz w:val="17"/>
              </w:rPr>
              <w:t>Improves gross margin and support quality.</w:t>
            </w:r>
          </w:p>
        </w:tc>
      </w:tr>
      <w:tr>
        <w:tc>
          <w:tcPr>
            <w:tcW w:type="dxa" w:w="2300"/>
          </w:tcPr>
          <w:p>
            <w:pPr>
              <w:spacing w:after="0" w:line="259" w:lineRule="auto"/>
              <w:jc w:val="left"/>
            </w:pPr>
            <w:r>
              <w:rPr>
                <w:rFonts w:ascii="Calibri" w:hAnsi="Calibri"/>
                <w:color w:val="1B2623"/>
                <w:sz w:val="17"/>
              </w:rPr>
              <w:t>Research/Partner Pack — later</w:t>
            </w:r>
          </w:p>
        </w:tc>
        <w:tc>
          <w:tcPr>
            <w:tcW w:type="dxa" w:w="4300"/>
          </w:tcPr>
          <w:p>
            <w:pPr>
              <w:spacing w:after="0" w:line="259" w:lineRule="auto"/>
              <w:jc w:val="left"/>
            </w:pPr>
            <w:r>
              <w:rPr>
                <w:rFonts w:ascii="Calibri" w:hAnsi="Calibri"/>
                <w:color w:val="1B2623"/>
                <w:sz w:val="17"/>
              </w:rPr>
              <w:t>Consent-governed outcome and cohort workflows.</w:t>
            </w:r>
          </w:p>
        </w:tc>
        <w:tc>
          <w:tcPr>
            <w:tcW w:type="dxa" w:w="2760"/>
          </w:tcPr>
          <w:p>
            <w:pPr>
              <w:spacing w:after="0" w:line="259" w:lineRule="auto"/>
              <w:jc w:val="left"/>
            </w:pPr>
            <w:r>
              <w:rPr>
                <w:rFonts w:ascii="Calibri" w:hAnsi="Calibri"/>
                <w:color w:val="1B2623"/>
                <w:sz w:val="17"/>
              </w:rPr>
              <w:t>New B2B/research revenue only after consumer proof.</w:t>
            </w:r>
          </w:p>
        </w:tc>
      </w:tr>
    </w:tbl>
    <w:p>
      <w:pPr>
        <w:pStyle w:val="Heading2"/>
      </w:pPr>
      <w:r>
        <w:t>Starlight–Alba engagement</w:t>
      </w:r>
    </w:p>
    <w:p>
      <w:r>
        <w:rPr>
          <w:rFonts w:ascii="Calibri" w:hAnsi="Calibri"/>
          <w:color w:val="1B2623"/>
        </w:rPr>
        <w:t>This should not be sold as an open-ended custom AI project. The commercial unit is a versioned vertical pack plus an Alba deployment licence.</w:t>
      </w:r>
    </w:p>
    <w:p>
      <w:pPr>
        <w:pStyle w:val="ListBullet"/>
        <w:jc w:val="left"/>
      </w:pPr>
      <w:r>
        <w:rPr>
          <w:rFonts w:ascii="Calibri" w:hAnsi="Calibri"/>
          <w:color w:val="1B2623"/>
          <w:sz w:val="21"/>
        </w:rPr>
        <w:t>Phase 1: funded architecture and data/claims audit with executable golden cases.</w:t>
      </w:r>
    </w:p>
    <w:p>
      <w:pPr>
        <w:pStyle w:val="ListBullet"/>
        <w:jc w:val="left"/>
      </w:pPr>
      <w:r>
        <w:rPr>
          <w:rFonts w:ascii="Calibri" w:hAnsi="Calibri"/>
          <w:color w:val="1B2623"/>
          <w:sz w:val="21"/>
        </w:rPr>
        <w:t>Phase 2: fixed-scope 90-day design-partner pilot inside Alba’s controlled environment.</w:t>
      </w:r>
    </w:p>
    <w:p>
      <w:pPr>
        <w:pStyle w:val="ListBullet"/>
        <w:jc w:val="left"/>
      </w:pPr>
      <w:r>
        <w:rPr>
          <w:rFonts w:ascii="Calibri" w:hAnsi="Calibri"/>
          <w:color w:val="1B2623"/>
          <w:sz w:val="21"/>
        </w:rPr>
        <w:t>Phase 3: recurring platform licence plus usage or active-family economics after acceptance gates.</w:t>
      </w:r>
    </w:p>
    <w:p>
      <w:pPr>
        <w:pStyle w:val="ListBullet"/>
        <w:jc w:val="left"/>
      </w:pPr>
      <w:r>
        <w:rPr>
          <w:rFonts w:ascii="Calibri" w:hAnsi="Calibri"/>
          <w:color w:val="1B2623"/>
          <w:sz w:val="21"/>
        </w:rPr>
        <w:t>Alba retains customer/data/scientific ownership; Starlight retains the generic vertical compiler, contracts and evaluation substrate.</w:t>
      </w:r>
    </w:p>
    <w:p>
      <w:pPr>
        <w:spacing w:line="288" w:lineRule="auto" w:before="160" w:after="200"/>
        <w:shd w:fill="F3F1E9"/>
        <w:pBdr>
          <w:left w:val="single" w:sz="18" w:space="8" w:color="D99B6C"/>
        </w:pBdr>
        <w:ind w:left="230" w:right="115"/>
      </w:pPr>
      <w:r>
        <w:rPr>
          <w:rFonts w:ascii="Calibri" w:hAnsi="Calibri"/>
          <w:b/>
          <w:color w:val="173F35"/>
          <w:sz w:val="21"/>
        </w:rPr>
        <w:t xml:space="preserve">PAYMENT EVENT  </w:t>
      </w:r>
      <w:r>
        <w:rPr>
          <w:rFonts w:ascii="Calibri" w:hAnsi="Calibri"/>
          <w:color w:val="1B2623"/>
          <w:sz w:val="21"/>
        </w:rPr>
        <w:t>The pilot starts only when Alba funds the SOW and both parties approve the data-processing, intended-purpose, IP and acceptance-test boundaries. Production pricing begins only after the pilot clears demand, activation, quality and economics gates.</w:t>
      </w:r>
    </w:p>
    <w:p>
      <w:r>
        <w:br w:type="page"/>
      </w:r>
    </w:p>
    <w:p>
      <w:pPr>
        <w:pStyle w:val="Heading1"/>
      </w:pPr>
      <w:r>
        <w:t>10. 90-day design-partner pilot</w:t>
      </w:r>
    </w:p>
    <w:p>
      <w:pPr>
        <w:spacing w:before="100" w:after="0"/>
        <w:jc w:val="center"/>
      </w:pPr>
      <w:r>
        <w:drawing>
          <wp:inline xmlns:a="http://schemas.openxmlformats.org/drawingml/2006/main" xmlns:pic="http://schemas.openxmlformats.org/drawingml/2006/picture">
            <wp:extent cx="5806440" cy="1843751"/>
            <wp:docPr id="3" name="Picture 3" title="Roadmap" descr="Figure 3. Build in the order that retires risk, not the order that maximizes feature count."/>
            <wp:cNvGraphicFramePr>
              <a:graphicFrameLocks noChangeAspect="1"/>
            </wp:cNvGraphicFramePr>
            <a:graphic>
              <a:graphicData uri="http://schemas.openxmlformats.org/drawingml/2006/picture">
                <pic:pic>
                  <pic:nvPicPr>
                    <pic:cNvPr id="0" name="roadmap.png"/>
                    <pic:cNvPicPr/>
                  </pic:nvPicPr>
                  <pic:blipFill>
                    <a:blip r:embed="rId13"/>
                    <a:stretch>
                      <a:fillRect/>
                    </a:stretch>
                  </pic:blipFill>
                  <pic:spPr>
                    <a:xfrm>
                      <a:off x="0" y="0"/>
                      <a:ext cx="5806440" cy="1843751"/>
                    </a:xfrm>
                    <a:prstGeom prst="rect"/>
                  </pic:spPr>
                </pic:pic>
              </a:graphicData>
            </a:graphic>
          </wp:inline>
        </w:drawing>
      </w:r>
    </w:p>
    <w:p>
      <w:pPr>
        <w:pStyle w:val="Caption"/>
        <w:keepNext w:val="0"/>
      </w:pPr>
      <w:r>
        <w:t>Figure 3. Build in the order that retires risk, not the order that maximizes feature count.</w:t>
      </w:r>
    </w:p>
    <w:p>
      <w:pPr>
        <w:pStyle w:val="Heading2"/>
      </w:pPr>
      <w:r>
        <w:t>Pilot scope</w:t>
      </w:r>
    </w:p>
    <w:tbl>
      <w:tblPr>
        <w:tblW w:type="dxa" w:w="9360"/>
        <w:jc w:val="left"/>
        <w:tblLayout w:type="fixed"/>
        <w:tblLook w:firstColumn="1" w:firstRow="1" w:lastColumn="0" w:lastRow="0" w:noHBand="0" w:noVBand="1" w:val="04A0"/>
        <w:tblInd w:w="120" w:type="dxa"/>
        <w:tblBorders>
          <w:top w:val="single" w:sz="5" w:space="0" w:color="D8DEDB"/>
          <w:left w:val="single" w:sz="5" w:space="0" w:color="D8DEDB"/>
          <w:bottom w:val="single" w:sz="5" w:space="0" w:color="D8DEDB"/>
          <w:right w:val="single" w:sz="5" w:space="0" w:color="D8DEDB"/>
          <w:insideH w:val="single" w:sz="5" w:space="0" w:color="D8DEDB"/>
          <w:insideV w:val="single" w:sz="5" w:space="0" w:color="D8DEDB"/>
        </w:tblBorders>
      </w:tblPr>
      <w:tblGrid>
        <w:gridCol w:w="1400"/>
        <w:gridCol w:w="4900"/>
        <w:gridCol w:w="3060"/>
      </w:tblGrid>
      <w:tr>
        <w:trPr>
          <w:tblHeader/>
        </w:trPr>
        <w:tc>
          <w:tcPr>
            <w:tcW w:type="dxa" w:w="14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Window</w:t>
            </w:r>
          </w:p>
        </w:tc>
        <w:tc>
          <w:tcPr>
            <w:tcW w:type="dxa" w:w="49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Deliverable</w:t>
            </w:r>
          </w:p>
        </w:tc>
        <w:tc>
          <w:tcPr>
            <w:tcW w:type="dxa" w:w="306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Exit evidence</w:t>
            </w:r>
          </w:p>
        </w:tc>
      </w:tr>
      <w:tr>
        <w:tc>
          <w:tcPr>
            <w:tcW w:type="dxa" w:w="1400"/>
          </w:tcPr>
          <w:p>
            <w:pPr>
              <w:spacing w:after="0" w:line="259" w:lineRule="auto"/>
              <w:jc w:val="left"/>
            </w:pPr>
            <w:r>
              <w:rPr>
                <w:rFonts w:ascii="Calibri" w:hAnsi="Calibri"/>
                <w:color w:val="1B2623"/>
                <w:sz w:val="17"/>
              </w:rPr>
              <w:t>Days 0–14</w:t>
            </w:r>
          </w:p>
        </w:tc>
        <w:tc>
          <w:tcPr>
            <w:tcW w:type="dxa" w:w="4900"/>
          </w:tcPr>
          <w:p>
            <w:pPr>
              <w:spacing w:after="0" w:line="259" w:lineRule="auto"/>
              <w:jc w:val="left"/>
            </w:pPr>
            <w:r>
              <w:rPr>
                <w:rFonts w:ascii="Calibri" w:hAnsi="Calibri"/>
                <w:color w:val="1B2623"/>
                <w:sz w:val="17"/>
              </w:rPr>
              <w:t>Data map, intended-purpose statement, claims ledger, consent model, 40 golden cases, architecture ADR.</w:t>
            </w:r>
          </w:p>
        </w:tc>
        <w:tc>
          <w:tcPr>
            <w:tcW w:type="dxa" w:w="3060"/>
          </w:tcPr>
          <w:p>
            <w:pPr>
              <w:spacing w:after="0" w:line="259" w:lineRule="auto"/>
              <w:jc w:val="left"/>
            </w:pPr>
            <w:r>
              <w:rPr>
                <w:rFonts w:ascii="Calibri" w:hAnsi="Calibri"/>
                <w:color w:val="1B2623"/>
                <w:sz w:val="17"/>
              </w:rPr>
              <w:t>Nora/science/privacy owners approve or stop.</w:t>
            </w:r>
          </w:p>
        </w:tc>
      </w:tr>
      <w:tr>
        <w:tc>
          <w:tcPr>
            <w:tcW w:type="dxa" w:w="1400"/>
            <w:shd w:fill="F4F6F5"/>
          </w:tcPr>
          <w:p>
            <w:pPr>
              <w:spacing w:after="0" w:line="259" w:lineRule="auto"/>
              <w:jc w:val="left"/>
            </w:pPr>
            <w:r>
              <w:rPr>
                <w:rFonts w:ascii="Calibri" w:hAnsi="Calibri"/>
                <w:color w:val="1B2623"/>
                <w:sz w:val="17"/>
              </w:rPr>
              <w:t>Days 15–30</w:t>
            </w:r>
          </w:p>
        </w:tc>
        <w:tc>
          <w:tcPr>
            <w:tcW w:type="dxa" w:w="4900"/>
            <w:shd w:fill="F4F6F5"/>
          </w:tcPr>
          <w:p>
            <w:pPr>
              <w:spacing w:after="0" w:line="259" w:lineRule="auto"/>
              <w:jc w:val="left"/>
            </w:pPr>
            <w:r>
              <w:rPr>
                <w:rFonts w:ascii="Calibri" w:hAnsi="Calibri"/>
                <w:color w:val="1B2623"/>
                <w:sz w:val="17"/>
              </w:rPr>
              <w:t>Family Journey Guide, first-week plan, weekly review, coach handoff, receipts, Alba app adapter.</w:t>
            </w:r>
          </w:p>
        </w:tc>
        <w:tc>
          <w:tcPr>
            <w:tcW w:type="dxa" w:w="3060"/>
            <w:shd w:fill="F4F6F5"/>
          </w:tcPr>
          <w:p>
            <w:pPr>
              <w:spacing w:after="0" w:line="259" w:lineRule="auto"/>
              <w:jc w:val="left"/>
            </w:pPr>
            <w:r>
              <w:rPr>
                <w:rFonts w:ascii="Calibri" w:hAnsi="Calibri"/>
                <w:color w:val="1B2623"/>
                <w:sz w:val="17"/>
              </w:rPr>
              <w:t>Fictional-data evals and privacy tests pass.</w:t>
            </w:r>
          </w:p>
        </w:tc>
      </w:tr>
      <w:tr>
        <w:tc>
          <w:tcPr>
            <w:tcW w:type="dxa" w:w="1400"/>
          </w:tcPr>
          <w:p>
            <w:pPr>
              <w:spacing w:after="0" w:line="259" w:lineRule="auto"/>
              <w:jc w:val="left"/>
            </w:pPr>
            <w:r>
              <w:rPr>
                <w:rFonts w:ascii="Calibri" w:hAnsi="Calibri"/>
                <w:color w:val="1B2623"/>
                <w:sz w:val="17"/>
              </w:rPr>
              <w:t>Days 31–60</w:t>
            </w:r>
          </w:p>
        </w:tc>
        <w:tc>
          <w:tcPr>
            <w:tcW w:type="dxa" w:w="4900"/>
          </w:tcPr>
          <w:p>
            <w:pPr>
              <w:spacing w:after="0" w:line="259" w:lineRule="auto"/>
              <w:jc w:val="left"/>
            </w:pPr>
            <w:r>
              <w:rPr>
                <w:rFonts w:ascii="Calibri" w:hAnsi="Calibri"/>
                <w:color w:val="1B2623"/>
                <w:sz w:val="17"/>
              </w:rPr>
              <w:t>25–40 consented families across age cohorts; mandatory coach review for escalations.</w:t>
            </w:r>
          </w:p>
        </w:tc>
        <w:tc>
          <w:tcPr>
            <w:tcW w:type="dxa" w:w="3060"/>
          </w:tcPr>
          <w:p>
            <w:pPr>
              <w:spacing w:after="0" w:line="259" w:lineRule="auto"/>
              <w:jc w:val="left"/>
            </w:pPr>
            <w:r>
              <w:rPr>
                <w:rFonts w:ascii="Calibri" w:hAnsi="Calibri"/>
                <w:color w:val="1B2623"/>
                <w:sz w:val="17"/>
              </w:rPr>
              <w:t>Weekly activation, friction and boundary report.</w:t>
            </w:r>
          </w:p>
        </w:tc>
      </w:tr>
      <w:tr>
        <w:tc>
          <w:tcPr>
            <w:tcW w:type="dxa" w:w="1400"/>
            <w:shd w:fill="F4F6F5"/>
          </w:tcPr>
          <w:p>
            <w:pPr>
              <w:spacing w:after="0" w:line="259" w:lineRule="auto"/>
              <w:jc w:val="left"/>
            </w:pPr>
            <w:r>
              <w:rPr>
                <w:rFonts w:ascii="Calibri" w:hAnsi="Calibri"/>
                <w:color w:val="1B2623"/>
                <w:sz w:val="17"/>
              </w:rPr>
              <w:t>Days 61–90</w:t>
            </w:r>
          </w:p>
        </w:tc>
        <w:tc>
          <w:tcPr>
            <w:tcW w:type="dxa" w:w="4900"/>
            <w:shd w:fill="F4F6F5"/>
          </w:tcPr>
          <w:p>
            <w:pPr>
              <w:spacing w:after="0" w:line="259" w:lineRule="auto"/>
              <w:jc w:val="left"/>
            </w:pPr>
            <w:r>
              <w:rPr>
                <w:rFonts w:ascii="Calibri" w:hAnsi="Calibri"/>
                <w:color w:val="1B2623"/>
                <w:sz w:val="17"/>
              </w:rPr>
              <w:t>Retest/continuity offer, outcome readout, production decision and release evidence receipt.</w:t>
            </w:r>
          </w:p>
        </w:tc>
        <w:tc>
          <w:tcPr>
            <w:tcW w:type="dxa" w:w="3060"/>
            <w:shd w:fill="F4F6F5"/>
          </w:tcPr>
          <w:p>
            <w:pPr>
              <w:spacing w:after="0" w:line="259" w:lineRule="auto"/>
              <w:jc w:val="left"/>
            </w:pPr>
            <w:r>
              <w:rPr>
                <w:rFonts w:ascii="Calibri" w:hAnsi="Calibri"/>
                <w:color w:val="1B2623"/>
                <w:sz w:val="17"/>
              </w:rPr>
              <w:t>Proceed only when all proof thresholds pass.</w:t>
            </w:r>
          </w:p>
        </w:tc>
      </w:tr>
    </w:tbl>
    <w:p>
      <w:pPr>
        <w:pStyle w:val="Heading2"/>
      </w:pPr>
      <w:r>
        <w:t>Scoreboard and stop conditions</w:t>
      </w:r>
    </w:p>
    <w:tbl>
      <w:tblPr>
        <w:tblW w:type="dxa" w:w="9360"/>
        <w:jc w:val="left"/>
        <w:tblLayout w:type="fixed"/>
        <w:tblLook w:firstColumn="1" w:firstRow="1" w:lastColumn="0" w:lastRow="0" w:noHBand="0" w:noVBand="1" w:val="04A0"/>
        <w:tblInd w:w="120" w:type="dxa"/>
        <w:tblBorders>
          <w:top w:val="single" w:sz="5" w:space="0" w:color="D8DEDB"/>
          <w:left w:val="single" w:sz="5" w:space="0" w:color="D8DEDB"/>
          <w:bottom w:val="single" w:sz="5" w:space="0" w:color="D8DEDB"/>
          <w:right w:val="single" w:sz="5" w:space="0" w:color="D8DEDB"/>
          <w:insideH w:val="single" w:sz="5" w:space="0" w:color="D8DEDB"/>
          <w:insideV w:val="single" w:sz="5" w:space="0" w:color="D8DEDB"/>
        </w:tblBorders>
      </w:tblPr>
      <w:tblGrid>
        <w:gridCol w:w="1600"/>
        <w:gridCol w:w="3900"/>
        <w:gridCol w:w="3860"/>
      </w:tblGrid>
      <w:tr>
        <w:trPr>
          <w:tblHeader/>
        </w:trPr>
        <w:tc>
          <w:tcPr>
            <w:tcW w:type="dxa" w:w="16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Gate</w:t>
            </w:r>
          </w:p>
        </w:tc>
        <w:tc>
          <w:tcPr>
            <w:tcW w:type="dxa" w:w="390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Pilot threshold</w:t>
            </w:r>
          </w:p>
        </w:tc>
        <w:tc>
          <w:tcPr>
            <w:tcW w:type="dxa" w:w="3860"/>
            <w:tcMar>
              <w:top w:w="80" w:type="dxa"/>
              <w:start w:w="120" w:type="dxa"/>
              <w:bottom w:w="80" w:type="dxa"/>
              <w:end w:w="120" w:type="dxa"/>
            </w:tcMar>
            <w:vAlign w:val="center"/>
            <w:shd w:fill="173F35"/>
          </w:tcPr>
          <w:p>
            <w:pPr>
              <w:spacing w:after="0" w:line="252" w:lineRule="auto"/>
              <w:jc w:val="left"/>
            </w:pPr>
            <w:r>
              <w:rPr>
                <w:rFonts w:ascii="Calibri" w:hAnsi="Calibri"/>
                <w:b/>
                <w:color w:val="FFFFFF"/>
                <w:sz w:val="17"/>
              </w:rPr>
              <w:t>Stop or narrow when</w:t>
            </w:r>
          </w:p>
        </w:tc>
      </w:tr>
      <w:tr>
        <w:tc>
          <w:tcPr>
            <w:tcW w:type="dxa" w:w="1600"/>
          </w:tcPr>
          <w:p>
            <w:pPr>
              <w:spacing w:after="0" w:line="259" w:lineRule="auto"/>
              <w:jc w:val="left"/>
            </w:pPr>
            <w:r>
              <w:rPr>
                <w:rFonts w:ascii="Calibri" w:hAnsi="Calibri"/>
                <w:color w:val="1B2623"/>
                <w:sz w:val="17"/>
              </w:rPr>
              <w:t>Activation</w:t>
            </w:r>
          </w:p>
        </w:tc>
        <w:tc>
          <w:tcPr>
            <w:tcW w:type="dxa" w:w="3900"/>
          </w:tcPr>
          <w:p>
            <w:pPr>
              <w:spacing w:after="0" w:line="259" w:lineRule="auto"/>
              <w:jc w:val="left"/>
            </w:pPr>
            <w:r>
              <w:rPr>
                <w:rFonts w:ascii="Calibri" w:hAnsi="Calibri"/>
                <w:color w:val="1B2623"/>
                <w:sz w:val="17"/>
              </w:rPr>
              <w:t>≥70% generate and approve a first-week plan.</w:t>
            </w:r>
          </w:p>
        </w:tc>
        <w:tc>
          <w:tcPr>
            <w:tcW w:type="dxa" w:w="3860"/>
          </w:tcPr>
          <w:p>
            <w:pPr>
              <w:spacing w:after="0" w:line="259" w:lineRule="auto"/>
              <w:jc w:val="left"/>
            </w:pPr>
            <w:r>
              <w:rPr>
                <w:rFonts w:ascii="Calibri" w:hAnsi="Calibri"/>
                <w:color w:val="1B2623"/>
                <w:sz w:val="17"/>
              </w:rPr>
              <w:t>Parents do not exchange time/data after viewing results.</w:t>
            </w:r>
          </w:p>
        </w:tc>
      </w:tr>
      <w:tr>
        <w:tc>
          <w:tcPr>
            <w:tcW w:type="dxa" w:w="1600"/>
            <w:shd w:fill="F4F6F5"/>
          </w:tcPr>
          <w:p>
            <w:pPr>
              <w:spacing w:after="0" w:line="259" w:lineRule="auto"/>
              <w:jc w:val="left"/>
            </w:pPr>
            <w:r>
              <w:rPr>
                <w:rFonts w:ascii="Calibri" w:hAnsi="Calibri"/>
                <w:color w:val="1B2623"/>
                <w:sz w:val="17"/>
              </w:rPr>
              <w:t>Retention</w:t>
            </w:r>
          </w:p>
        </w:tc>
        <w:tc>
          <w:tcPr>
            <w:tcW w:type="dxa" w:w="3900"/>
            <w:shd w:fill="F4F6F5"/>
          </w:tcPr>
          <w:p>
            <w:pPr>
              <w:spacing w:after="0" w:line="259" w:lineRule="auto"/>
              <w:jc w:val="left"/>
            </w:pPr>
            <w:r>
              <w:rPr>
                <w:rFonts w:ascii="Calibri" w:hAnsi="Calibri"/>
                <w:color w:val="1B2623"/>
                <w:sz w:val="17"/>
              </w:rPr>
              <w:t>≥50% complete four weekly reviews.</w:t>
            </w:r>
          </w:p>
        </w:tc>
        <w:tc>
          <w:tcPr>
            <w:tcW w:type="dxa" w:w="3860"/>
            <w:shd w:fill="F4F6F5"/>
          </w:tcPr>
          <w:p>
            <w:pPr>
              <w:spacing w:after="0" w:line="259" w:lineRule="auto"/>
              <w:jc w:val="left"/>
            </w:pPr>
            <w:r>
              <w:rPr>
                <w:rFonts w:ascii="Calibri" w:hAnsi="Calibri"/>
                <w:color w:val="1B2623"/>
                <w:sz w:val="17"/>
              </w:rPr>
              <w:t>Use collapses after novelty or plans do not fit family life.</w:t>
            </w:r>
          </w:p>
        </w:tc>
      </w:tr>
      <w:tr>
        <w:tc>
          <w:tcPr>
            <w:tcW w:type="dxa" w:w="1600"/>
          </w:tcPr>
          <w:p>
            <w:pPr>
              <w:spacing w:after="0" w:line="259" w:lineRule="auto"/>
              <w:jc w:val="left"/>
            </w:pPr>
            <w:r>
              <w:rPr>
                <w:rFonts w:ascii="Calibri" w:hAnsi="Calibri"/>
                <w:color w:val="1B2623"/>
                <w:sz w:val="17"/>
              </w:rPr>
              <w:t>Quality</w:t>
            </w:r>
          </w:p>
        </w:tc>
        <w:tc>
          <w:tcPr>
            <w:tcW w:type="dxa" w:w="3900"/>
          </w:tcPr>
          <w:p>
            <w:pPr>
              <w:spacing w:after="0" w:line="259" w:lineRule="auto"/>
              <w:jc w:val="left"/>
            </w:pPr>
            <w:r>
              <w:rPr>
                <w:rFonts w:ascii="Calibri" w:hAnsi="Calibri"/>
                <w:color w:val="1B2623"/>
                <w:sz w:val="17"/>
              </w:rPr>
              <w:t>≥4.5/5 usefulness; coach prep time reduced ≥30%.</w:t>
            </w:r>
          </w:p>
        </w:tc>
        <w:tc>
          <w:tcPr>
            <w:tcW w:type="dxa" w:w="3860"/>
          </w:tcPr>
          <w:p>
            <w:pPr>
              <w:spacing w:after="0" w:line="259" w:lineRule="auto"/>
              <w:jc w:val="left"/>
            </w:pPr>
            <w:r>
              <w:rPr>
                <w:rFonts w:ascii="Calibri" w:hAnsi="Calibri"/>
                <w:color w:val="1B2623"/>
                <w:sz w:val="17"/>
              </w:rPr>
              <w:t>Human workload increases or outputs require broad rewriting.</w:t>
            </w:r>
          </w:p>
        </w:tc>
      </w:tr>
      <w:tr>
        <w:tc>
          <w:tcPr>
            <w:tcW w:type="dxa" w:w="1600"/>
            <w:shd w:fill="F4F6F5"/>
          </w:tcPr>
          <w:p>
            <w:pPr>
              <w:spacing w:after="0" w:line="259" w:lineRule="auto"/>
              <w:jc w:val="left"/>
            </w:pPr>
            <w:r>
              <w:rPr>
                <w:rFonts w:ascii="Calibri" w:hAnsi="Calibri"/>
                <w:color w:val="1B2623"/>
                <w:sz w:val="17"/>
              </w:rPr>
              <w:t>Safety/privacy</w:t>
            </w:r>
          </w:p>
        </w:tc>
        <w:tc>
          <w:tcPr>
            <w:tcW w:type="dxa" w:w="3900"/>
            <w:shd w:fill="F4F6F5"/>
          </w:tcPr>
          <w:p>
            <w:pPr>
              <w:spacing w:after="0" w:line="259" w:lineRule="auto"/>
              <w:jc w:val="left"/>
            </w:pPr>
            <w:r>
              <w:rPr>
                <w:rFonts w:ascii="Calibri" w:hAnsi="Calibri"/>
                <w:color w:val="1B2623"/>
                <w:sz w:val="17"/>
              </w:rPr>
              <w:t>0 critical boundary or cross-family leaks; 100% allergen/authority critical-case pass.</w:t>
            </w:r>
          </w:p>
        </w:tc>
        <w:tc>
          <w:tcPr>
            <w:tcW w:type="dxa" w:w="3860"/>
            <w:shd w:fill="F4F6F5"/>
          </w:tcPr>
          <w:p>
            <w:pPr>
              <w:spacing w:after="0" w:line="259" w:lineRule="auto"/>
              <w:jc w:val="left"/>
            </w:pPr>
            <w:r>
              <w:rPr>
                <w:rFonts w:ascii="Calibri" w:hAnsi="Calibri"/>
                <w:color w:val="1B2623"/>
                <w:sz w:val="17"/>
              </w:rPr>
              <w:t>Any unresolved critical incident or consent ambiguity.</w:t>
            </w:r>
          </w:p>
        </w:tc>
      </w:tr>
      <w:tr>
        <w:tc>
          <w:tcPr>
            <w:tcW w:type="dxa" w:w="1600"/>
          </w:tcPr>
          <w:p>
            <w:pPr>
              <w:spacing w:after="0" w:line="259" w:lineRule="auto"/>
              <w:jc w:val="left"/>
            </w:pPr>
            <w:r>
              <w:rPr>
                <w:rFonts w:ascii="Calibri" w:hAnsi="Calibri"/>
                <w:color w:val="1B2623"/>
                <w:sz w:val="17"/>
              </w:rPr>
              <w:t>Economics</w:t>
            </w:r>
          </w:p>
        </w:tc>
        <w:tc>
          <w:tcPr>
            <w:tcW w:type="dxa" w:w="3900"/>
          </w:tcPr>
          <w:p>
            <w:pPr>
              <w:spacing w:after="0" w:line="259" w:lineRule="auto"/>
              <w:jc w:val="left"/>
            </w:pPr>
            <w:r>
              <w:rPr>
                <w:rFonts w:ascii="Calibri" w:hAnsi="Calibri"/>
                <w:color w:val="1B2623"/>
                <w:sz w:val="17"/>
              </w:rPr>
              <w:t>Credible path to recurring margin or materially higher retest/referral value.</w:t>
            </w:r>
          </w:p>
        </w:tc>
        <w:tc>
          <w:tcPr>
            <w:tcW w:type="dxa" w:w="3860"/>
          </w:tcPr>
          <w:p>
            <w:pPr>
              <w:spacing w:after="0" w:line="259" w:lineRule="auto"/>
              <w:jc w:val="left"/>
            </w:pPr>
            <w:r>
              <w:rPr>
                <w:rFonts w:ascii="Calibri" w:hAnsi="Calibri"/>
                <w:color w:val="1B2623"/>
                <w:sz w:val="17"/>
              </w:rPr>
              <w:t>No measurable value beyond features Alba already ships.</w:t>
            </w:r>
          </w:p>
        </w:tc>
      </w:tr>
    </w:tbl>
    <w:p>
      <w:pPr>
        <w:spacing w:line="288" w:lineRule="auto" w:before="160" w:after="200"/>
        <w:shd w:fill="DDE9E1"/>
        <w:pBdr>
          <w:left w:val="single" w:sz="18" w:space="8" w:color="9BB7A5"/>
        </w:pBdr>
        <w:ind w:left="230" w:right="115"/>
      </w:pPr>
      <w:r>
        <w:rPr>
          <w:rFonts w:ascii="Calibri" w:hAnsi="Calibri"/>
          <w:b/>
          <w:color w:val="173F35"/>
          <w:sz w:val="21"/>
        </w:rPr>
        <w:t xml:space="preserve">IMMEDIATE MOVE  </w:t>
      </w:r>
      <w:r>
        <w:rPr>
          <w:rFonts w:ascii="Calibri" w:hAnsi="Calibri"/>
          <w:color w:val="1B2623"/>
          <w:sz w:val="21"/>
        </w:rPr>
        <w:t>Run a 90-minute architecture session with Nora, Alba’s product lead, science lead and privacy owner. The only decision required is whether the dominant bottleneck is parent adherence, coach capacity or evidence/governance. Freeze one bottleneck before any implementation.</w:t>
      </w:r>
    </w:p>
    <w:p>
      <w:r>
        <w:br w:type="page"/>
      </w:r>
    </w:p>
    <w:p>
      <w:pPr>
        <w:pStyle w:val="Heading1"/>
      </w:pPr>
      <w:r>
        <w:t>11. The proposition to Nora</w:t>
      </w:r>
    </w:p>
    <w:p>
      <w:pPr>
        <w:spacing w:line="288" w:lineRule="auto" w:before="160" w:after="200"/>
        <w:shd w:fill="DDE9E1"/>
        <w:pBdr>
          <w:left w:val="single" w:sz="18" w:space="8" w:color="9BB7A5"/>
        </w:pBdr>
        <w:ind w:left="230" w:right="115"/>
      </w:pPr>
      <w:r>
        <w:rPr>
          <w:rFonts w:ascii="Calibri" w:hAnsi="Calibri"/>
          <w:b/>
          <w:color w:val="173F35"/>
          <w:sz w:val="21"/>
        </w:rPr>
        <w:t xml:space="preserve">ONE-SENTENCE POSITION  </w:t>
      </w:r>
      <w:r>
        <w:rPr>
          <w:rFonts w:ascii="Calibri" w:hAnsi="Calibri"/>
          <w:color w:val="1B2623"/>
          <w:sz w:val="21"/>
        </w:rPr>
        <w:t>Alba has already built the right surface; Starlight can help turn it into a governed family intelligence layer that remembers safely, compounds coaching, proves every recommendation and learns from outcomes without mixing family data.</w:t>
      </w:r>
    </w:p>
    <w:p>
      <w:pPr>
        <w:pStyle w:val="Heading2"/>
      </w:pPr>
      <w:r>
        <w:t>What the first session must resolve</w:t>
      </w:r>
    </w:p>
    <w:p>
      <w:pPr>
        <w:pStyle w:val="ListNumber"/>
        <w:jc w:val="left"/>
      </w:pPr>
      <w:r>
        <w:rPr>
          <w:rFonts w:ascii="Calibri" w:hAnsi="Calibri"/>
          <w:color w:val="1B2623"/>
          <w:sz w:val="21"/>
        </w:rPr>
        <w:t>Which current Advisor workflow creates the greatest parent friction or coach workload?</w:t>
      </w:r>
    </w:p>
    <w:p>
      <w:pPr>
        <w:pStyle w:val="ListNumber"/>
        <w:jc w:val="left"/>
      </w:pPr>
      <w:r>
        <w:rPr>
          <w:rFonts w:ascii="Calibri" w:hAnsi="Calibri"/>
          <w:color w:val="1B2623"/>
          <w:sz w:val="21"/>
        </w:rPr>
        <w:t>Which recommendation logic is deterministic, proprietary and already approved—and which is still generated or manually interpreted?</w:t>
      </w:r>
    </w:p>
    <w:p>
      <w:pPr>
        <w:pStyle w:val="ListNumber"/>
        <w:jc w:val="left"/>
      </w:pPr>
      <w:r>
        <w:rPr>
          <w:rFonts w:ascii="Calibri" w:hAnsi="Calibri"/>
          <w:color w:val="1B2623"/>
          <w:sz w:val="21"/>
        </w:rPr>
        <w:t>Where do family context, chat history, coach notes, result versions and consent records live today?</w:t>
      </w:r>
    </w:p>
    <w:p>
      <w:pPr>
        <w:pStyle w:val="ListNumber"/>
        <w:jc w:val="left"/>
      </w:pPr>
      <w:r>
        <w:rPr>
          <w:rFonts w:ascii="Calibri" w:hAnsi="Calibri"/>
          <w:color w:val="1B2623"/>
          <w:sz w:val="21"/>
        </w:rPr>
        <w:t>Which claims and interventions have age-specific source and approval records?</w:t>
      </w:r>
    </w:p>
    <w:p>
      <w:pPr>
        <w:pStyle w:val="ListNumber"/>
        <w:jc w:val="left"/>
      </w:pPr>
      <w:r>
        <w:rPr>
          <w:rFonts w:ascii="Calibri" w:hAnsi="Calibri"/>
          <w:color w:val="1B2623"/>
          <w:sz w:val="21"/>
        </w:rPr>
        <w:t>Which outcome would justify a production licence: adherence, coach capacity, retest conversion, retention or research quality?</w:t>
      </w:r>
    </w:p>
    <w:p>
      <w:pPr>
        <w:pStyle w:val="Heading2"/>
      </w:pPr>
      <w:r>
        <w:t>What not to promise</w:t>
      </w:r>
    </w:p>
    <w:p>
      <w:r>
        <w:rPr>
          <w:rFonts w:ascii="Calibri" w:hAnsi="Calibri"/>
          <w:color w:val="1B2623"/>
        </w:rPr>
        <w:t>Do not promise disease prevention, diagnostic insight, treatment selection, a universal “healthy microbiome,” or autonomous personalization. Promise a safer operating system for translating Alba-approved science into repeatable family action.</w:t>
      </w:r>
    </w:p>
    <w:p>
      <w:pPr>
        <w:pStyle w:val="Heading2"/>
      </w:pPr>
      <w:r>
        <w:t>The first sellable artifact</w:t>
      </w:r>
    </w:p>
    <w:p>
      <w:r>
        <w:rPr>
          <w:rFonts w:ascii="Calibri" w:hAnsi="Calibri"/>
          <w:color w:val="1B2623"/>
        </w:rPr>
        <w:t>A clickable, fictional-data walkthrough of one child’s journey from report release to first-week meal plan, grocery prep, weekly review and coach handoff—accompanied by the exact evidence receipt and ten adversarial test results. This creates more information than another strategy deck.</w:t>
      </w:r>
    </w:p>
    <w:p>
      <w:pPr>
        <w:spacing w:line="288" w:lineRule="auto" w:before="160" w:after="200"/>
        <w:shd w:fill="F3F1E9"/>
        <w:pBdr>
          <w:left w:val="single" w:sz="18" w:space="8" w:color="D99B6C"/>
        </w:pBdr>
        <w:ind w:left="230" w:right="115"/>
      </w:pPr>
      <w:r>
        <w:rPr>
          <w:rFonts w:ascii="Calibri" w:hAnsi="Calibri"/>
          <w:b/>
          <w:color w:val="173F35"/>
          <w:sz w:val="21"/>
        </w:rPr>
        <w:t xml:space="preserve">DECISION  </w:t>
      </w:r>
      <w:r>
        <w:rPr>
          <w:rFonts w:ascii="Calibri" w:hAnsi="Calibri"/>
          <w:color w:val="1B2623"/>
          <w:sz w:val="21"/>
        </w:rPr>
        <w:t>Proceed as a design-partner proposal. Do not launch a separate Starlight gut-health consumer product, marketplace pack or parent community until Alba—or an equivalent partner—proves repeated paid demand and the safety/evaluation model.</w:t>
      </w:r>
    </w:p>
    <w:p>
      <w:r>
        <w:br w:type="page"/>
      </w:r>
    </w:p>
    <w:p>
      <w:pPr>
        <w:pStyle w:val="Heading1"/>
      </w:pPr>
      <w:r>
        <w:t>Source ledger</w:t>
      </w:r>
    </w:p>
    <w:p>
      <w:r>
        <w:rPr>
          <w:rFonts w:ascii="Calibri" w:hAnsi="Calibri"/>
          <w:color w:val="1B2623"/>
        </w:rPr>
        <w:t>Current-state claims were checked on 29 July 2026. Company traction and product claims are identified as Alba/Nora-reported where applicable. Regulatory classification requires qualified counsel and depends on intended purpose and actual implementation.</w:t>
      </w:r>
    </w:p>
    <w:p>
      <w:pPr>
        <w:spacing w:after="80" w:line="252" w:lineRule="auto"/>
        <w:ind w:left="259" w:hanging="259"/>
      </w:pPr>
      <w:r>
        <w:rPr>
          <w:rFonts w:ascii="Calibri" w:hAnsi="Calibri"/>
          <w:b/>
          <w:color w:val="173F35"/>
          <w:sz w:val="17"/>
        </w:rPr>
        <w:t xml:space="preserve">[1] Alba Health — About. </w:t>
      </w:r>
      <w:r>
        <w:rPr>
          <w:rFonts w:ascii="Calibri" w:hAnsi="Calibri"/>
          <w:color w:val="2C5F72"/>
          <w:sz w:val="16"/>
        </w:rPr>
        <w:t>https://albahealth.com/pages/about</w:t>
      </w:r>
      <w:r>
        <w:rPr>
          <w:rFonts w:ascii="Calibri" w:hAnsi="Calibri"/>
          <w:color w:val="62706B"/>
          <w:sz w:val="16"/>
        </w:rPr>
        <w:t xml:space="preserve"> — Founder story, co-founder and scientific team</w:t>
      </w:r>
    </w:p>
    <w:p>
      <w:pPr>
        <w:spacing w:after="80" w:line="252" w:lineRule="auto"/>
        <w:ind w:left="259" w:hanging="259"/>
      </w:pPr>
      <w:r>
        <w:rPr>
          <w:rFonts w:ascii="Calibri" w:hAnsi="Calibri"/>
          <w:b/>
          <w:color w:val="173F35"/>
          <w:sz w:val="17"/>
        </w:rPr>
        <w:t xml:space="preserve">[2] European Investment Fund — Alba Health case study. </w:t>
      </w:r>
      <w:r>
        <w:rPr>
          <w:rFonts w:ascii="Calibri" w:hAnsi="Calibri"/>
          <w:color w:val="2C5F72"/>
          <w:sz w:val="16"/>
        </w:rPr>
        <w:t>https://www.eif.org/case-study/all/alba-health</w:t>
      </w:r>
      <w:r>
        <w:rPr>
          <w:rFonts w:ascii="Calibri" w:hAnsi="Calibri"/>
          <w:color w:val="62706B"/>
          <w:sz w:val="16"/>
        </w:rPr>
        <w:t xml:space="preserve"> — Product workflow, AI and demand</w:t>
      </w:r>
    </w:p>
    <w:p>
      <w:pPr>
        <w:spacing w:after="80" w:line="252" w:lineRule="auto"/>
        <w:ind w:left="259" w:hanging="259"/>
      </w:pPr>
      <w:r>
        <w:rPr>
          <w:rFonts w:ascii="Calibri" w:hAnsi="Calibri"/>
          <w:b/>
          <w:color w:val="173F35"/>
          <w:sz w:val="17"/>
        </w:rPr>
        <w:t xml:space="preserve">[3] LinkedIn — Nora Cavani. </w:t>
      </w:r>
      <w:r>
        <w:rPr>
          <w:rFonts w:ascii="Calibri" w:hAnsi="Calibri"/>
          <w:color w:val="2C5F72"/>
          <w:sz w:val="16"/>
        </w:rPr>
        <w:t>https://uk.linkedin.com/in/eleonoracavani</w:t>
      </w:r>
      <w:r>
        <w:rPr>
          <w:rFonts w:ascii="Calibri" w:hAnsi="Calibri"/>
          <w:color w:val="62706B"/>
          <w:sz w:val="16"/>
        </w:rPr>
        <w:t xml:space="preserve"> — Background and role</w:t>
      </w:r>
    </w:p>
    <w:p>
      <w:pPr>
        <w:spacing w:after="80" w:line="252" w:lineRule="auto"/>
        <w:ind w:left="259" w:hanging="259"/>
      </w:pPr>
      <w:r>
        <w:rPr>
          <w:rFonts w:ascii="Calibri" w:hAnsi="Calibri"/>
          <w:b/>
          <w:color w:val="173F35"/>
          <w:sz w:val="17"/>
        </w:rPr>
        <w:t xml:space="preserve">[4] Alba Health — Gut Mini-Series. </w:t>
      </w:r>
      <w:r>
        <w:rPr>
          <w:rFonts w:ascii="Calibri" w:hAnsi="Calibri"/>
          <w:color w:val="2C5F72"/>
          <w:sz w:val="16"/>
        </w:rPr>
        <w:t>https://albahealth.com/pages/gut-health-mini-series</w:t>
      </w:r>
      <w:r>
        <w:rPr>
          <w:rFonts w:ascii="Calibri" w:hAnsi="Calibri"/>
          <w:color w:val="62706B"/>
          <w:sz w:val="16"/>
        </w:rPr>
        <w:t xml:space="preserve"> — 40,000+ sign-ups and content offer</w:t>
      </w:r>
    </w:p>
    <w:p>
      <w:pPr>
        <w:spacing w:after="80" w:line="252" w:lineRule="auto"/>
        <w:ind w:left="259" w:hanging="259"/>
      </w:pPr>
      <w:r>
        <w:rPr>
          <w:rFonts w:ascii="Calibri" w:hAnsi="Calibri"/>
          <w:b/>
          <w:color w:val="173F35"/>
          <w:sz w:val="17"/>
        </w:rPr>
        <w:t xml:space="preserve">[5] Nora Cavani — 2026 founder award post. </w:t>
      </w:r>
      <w:r>
        <w:rPr>
          <w:rFonts w:ascii="Calibri" w:hAnsi="Calibri"/>
          <w:color w:val="2C5F72"/>
          <w:sz w:val="16"/>
        </w:rPr>
        <w:t>https://www.linkedin.com/posts/eleonoracavani_entrepreneur-healthtech-startup-activity-7425490422707343360-782-</w:t>
      </w:r>
      <w:r>
        <w:rPr>
          <w:rFonts w:ascii="Calibri" w:hAnsi="Calibri"/>
          <w:color w:val="62706B"/>
          <w:sz w:val="16"/>
        </w:rPr>
        <w:t xml:space="preserve"> — Self-reported growth and distribution</w:t>
      </w:r>
    </w:p>
    <w:p>
      <w:pPr>
        <w:spacing w:after="80" w:line="252" w:lineRule="auto"/>
        <w:ind w:left="259" w:hanging="259"/>
      </w:pPr>
      <w:r>
        <w:rPr>
          <w:rFonts w:ascii="Calibri" w:hAnsi="Calibri"/>
          <w:b/>
          <w:color w:val="173F35"/>
          <w:sz w:val="17"/>
        </w:rPr>
        <w:t xml:space="preserve">[6] Alba Health — Buy gut health tests. </w:t>
      </w:r>
      <w:r>
        <w:rPr>
          <w:rFonts w:ascii="Calibri" w:hAnsi="Calibri"/>
          <w:color w:val="2C5F72"/>
          <w:sz w:val="16"/>
        </w:rPr>
        <w:t>https://albahealth.com/pages/buy-gut-health-tests</w:t>
      </w:r>
      <w:r>
        <w:rPr>
          <w:rFonts w:ascii="Calibri" w:hAnsi="Calibri"/>
          <w:color w:val="62706B"/>
          <w:sz w:val="16"/>
        </w:rPr>
        <w:t xml:space="preserve"> — Product catalogue and journey</w:t>
      </w:r>
    </w:p>
    <w:p>
      <w:pPr>
        <w:spacing w:after="80" w:line="252" w:lineRule="auto"/>
        <w:ind w:left="259" w:hanging="259"/>
      </w:pPr>
      <w:r>
        <w:rPr>
          <w:rFonts w:ascii="Calibri" w:hAnsi="Calibri"/>
          <w:b/>
          <w:color w:val="173F35"/>
          <w:sz w:val="17"/>
        </w:rPr>
        <w:t xml:space="preserve">[7] Alba Health — Terms of service. </w:t>
      </w:r>
      <w:r>
        <w:rPr>
          <w:rFonts w:ascii="Calibri" w:hAnsi="Calibri"/>
          <w:color w:val="2C5F72"/>
          <w:sz w:val="16"/>
        </w:rPr>
        <w:t>https://albahealth.com/policies/terms-of-service</w:t>
      </w:r>
      <w:r>
        <w:rPr>
          <w:rFonts w:ascii="Calibri" w:hAnsi="Calibri"/>
          <w:color w:val="62706B"/>
          <w:sz w:val="16"/>
        </w:rPr>
        <w:t xml:space="preserve"> — Wellness purpose and 12-month AI chat</w:t>
      </w:r>
    </w:p>
    <w:p>
      <w:pPr>
        <w:spacing w:after="80" w:line="252" w:lineRule="auto"/>
        <w:ind w:left="259" w:hanging="259"/>
      </w:pPr>
      <w:r>
        <w:rPr>
          <w:rFonts w:ascii="Calibri" w:hAnsi="Calibri"/>
          <w:b/>
          <w:color w:val="173F35"/>
          <w:sz w:val="17"/>
        </w:rPr>
        <w:t xml:space="preserve">[8] Business Insider — Alba Health seed round. </w:t>
      </w:r>
      <w:r>
        <w:rPr>
          <w:rFonts w:ascii="Calibri" w:hAnsi="Calibri"/>
          <w:color w:val="2C5F72"/>
          <w:sz w:val="16"/>
        </w:rPr>
        <w:t>https://www.businessinsider.com/alba-health-gut-testing-pitch-deck-funding-seed-2025</w:t>
      </w:r>
      <w:r>
        <w:rPr>
          <w:rFonts w:ascii="Calibri" w:hAnsi="Calibri"/>
          <w:color w:val="62706B"/>
          <w:sz w:val="16"/>
        </w:rPr>
        <w:t xml:space="preserve"> — Funding, study and offer</w:t>
      </w:r>
    </w:p>
    <w:p>
      <w:pPr>
        <w:spacing w:after="80" w:line="252" w:lineRule="auto"/>
        <w:ind w:left="259" w:hanging="259"/>
      </w:pPr>
      <w:r>
        <w:rPr>
          <w:rFonts w:ascii="Calibri" w:hAnsi="Calibri"/>
          <w:b/>
          <w:color w:val="173F35"/>
          <w:sz w:val="17"/>
        </w:rPr>
        <w:t xml:space="preserve">[9] Trustpilot — Alba Health. </w:t>
      </w:r>
      <w:r>
        <w:rPr>
          <w:rFonts w:ascii="Calibri" w:hAnsi="Calibri"/>
          <w:color w:val="2C5F72"/>
          <w:sz w:val="16"/>
        </w:rPr>
        <w:t>https://www.trustpilot.com/review/albahealth.co</w:t>
      </w:r>
      <w:r>
        <w:rPr>
          <w:rFonts w:ascii="Calibri" w:hAnsi="Calibri"/>
          <w:color w:val="62706B"/>
          <w:sz w:val="16"/>
        </w:rPr>
        <w:t xml:space="preserve"> — Current review themes; anecdotal customer evidence</w:t>
      </w:r>
    </w:p>
    <w:p>
      <w:pPr>
        <w:spacing w:after="80" w:line="252" w:lineRule="auto"/>
        <w:ind w:left="259" w:hanging="259"/>
      </w:pPr>
      <w:r>
        <w:rPr>
          <w:rFonts w:ascii="Calibri" w:hAnsi="Calibri"/>
          <w:b/>
          <w:color w:val="173F35"/>
          <w:sz w:val="17"/>
        </w:rPr>
        <w:t xml:space="preserve">[10] Alba Health — Privacy policy. </w:t>
      </w:r>
      <w:r>
        <w:rPr>
          <w:rFonts w:ascii="Calibri" w:hAnsi="Calibri"/>
          <w:color w:val="2C5F72"/>
          <w:sz w:val="16"/>
        </w:rPr>
        <w:t>https://albahealth.com/policies/privacy-policy</w:t>
      </w:r>
      <w:r>
        <w:rPr>
          <w:rFonts w:ascii="Calibri" w:hAnsi="Calibri"/>
          <w:color w:val="62706B"/>
          <w:sz w:val="16"/>
        </w:rPr>
        <w:t xml:space="preserve"> — Controller, processors, security and public-policy gap</w:t>
      </w:r>
    </w:p>
    <w:p>
      <w:pPr>
        <w:spacing w:after="80" w:line="252" w:lineRule="auto"/>
        <w:ind w:left="259" w:hanging="259"/>
      </w:pPr>
      <w:r>
        <w:rPr>
          <w:rFonts w:ascii="Calibri" w:hAnsi="Calibri"/>
          <w:b/>
          <w:color w:val="173F35"/>
          <w:sz w:val="17"/>
        </w:rPr>
        <w:t xml:space="preserve">[11] GitHub — Health Intelligence System. </w:t>
      </w:r>
      <w:r>
        <w:rPr>
          <w:rFonts w:ascii="Calibri" w:hAnsi="Calibri"/>
          <w:color w:val="2C5F72"/>
          <w:sz w:val="16"/>
        </w:rPr>
        <w:t>https://github.com/frankxai/health-intelligence-system</w:t>
      </w:r>
      <w:r>
        <w:rPr>
          <w:rFonts w:ascii="Calibri" w:hAnsi="Calibri"/>
          <w:color w:val="62706B"/>
          <w:sz w:val="16"/>
        </w:rPr>
        <w:t xml:space="preserve"> — Public protocol and v0.2.1 agent pack</w:t>
      </w:r>
    </w:p>
    <w:p>
      <w:pPr>
        <w:spacing w:after="80" w:line="252" w:lineRule="auto"/>
        <w:ind w:left="259" w:hanging="259"/>
      </w:pPr>
      <w:r>
        <w:rPr>
          <w:rFonts w:ascii="Calibri" w:hAnsi="Calibri"/>
          <w:b/>
          <w:color w:val="173F35"/>
          <w:sz w:val="17"/>
        </w:rPr>
        <w:t xml:space="preserve">[12] GitHub — Starlight Intelligence System. </w:t>
      </w:r>
      <w:r>
        <w:rPr>
          <w:rFonts w:ascii="Calibri" w:hAnsi="Calibri"/>
          <w:color w:val="2C5F72"/>
          <w:sz w:val="16"/>
        </w:rPr>
        <w:t>https://github.com/frankxai/Starlight-Intelligence-System</w:t>
      </w:r>
      <w:r>
        <w:rPr>
          <w:rFonts w:ascii="Calibri" w:hAnsi="Calibri"/>
          <w:color w:val="62706B"/>
          <w:sz w:val="16"/>
        </w:rPr>
        <w:t xml:space="preserve"> — SIP/SIS substrate</w:t>
      </w:r>
    </w:p>
    <w:p>
      <w:pPr>
        <w:spacing w:after="80" w:line="252" w:lineRule="auto"/>
        <w:ind w:left="259" w:hanging="259"/>
      </w:pPr>
      <w:r>
        <w:rPr>
          <w:rFonts w:ascii="Calibri" w:hAnsi="Calibri"/>
          <w:b/>
          <w:color w:val="173F35"/>
          <w:sz w:val="17"/>
        </w:rPr>
        <w:t xml:space="preserve">[13] Starlight Intelligence Foundry Architecture v0.1. </w:t>
      </w:r>
      <w:r>
        <w:rPr>
          <w:rFonts w:ascii="Calibri" w:hAnsi="Calibri"/>
          <w:color w:val="2C5F72"/>
          <w:sz w:val="16"/>
        </w:rPr>
        <w:t>Library artifact, 28 July 2026</w:t>
      </w:r>
      <w:r>
        <w:rPr>
          <w:rFonts w:ascii="Calibri" w:hAnsi="Calibri"/>
          <w:color w:val="62706B"/>
          <w:sz w:val="16"/>
        </w:rPr>
        <w:t xml:space="preserve"> — Vertical pack and evaluation contract</w:t>
      </w:r>
    </w:p>
    <w:p>
      <w:pPr>
        <w:spacing w:after="80" w:line="252" w:lineRule="auto"/>
        <w:ind w:left="259" w:hanging="259"/>
      </w:pPr>
      <w:r>
        <w:rPr>
          <w:rFonts w:ascii="Calibri" w:hAnsi="Calibri"/>
          <w:b/>
          <w:color w:val="173F35"/>
          <w:sz w:val="17"/>
        </w:rPr>
        <w:t xml:space="preserve">[14] GitHub — Agentic Life OS / health package. </w:t>
      </w:r>
      <w:r>
        <w:rPr>
          <w:rFonts w:ascii="Calibri" w:hAnsi="Calibri"/>
          <w:color w:val="2C5F72"/>
          <w:sz w:val="16"/>
        </w:rPr>
        <w:t>https://github.com/frankxai/agentic-life-os/tree/main/packages/health</w:t>
      </w:r>
      <w:r>
        <w:rPr>
          <w:rFonts w:ascii="Calibri" w:hAnsi="Calibri"/>
          <w:color w:val="62706B"/>
          <w:sz w:val="16"/>
        </w:rPr>
        <w:t xml:space="preserve"> — Current private runtime</w:t>
      </w:r>
    </w:p>
    <w:p>
      <w:pPr>
        <w:spacing w:after="80" w:line="252" w:lineRule="auto"/>
        <w:ind w:left="259" w:hanging="259"/>
      </w:pPr>
      <w:r>
        <w:rPr>
          <w:rFonts w:ascii="Calibri" w:hAnsi="Calibri"/>
          <w:b/>
          <w:color w:val="173F35"/>
          <w:sz w:val="17"/>
        </w:rPr>
        <w:t xml:space="preserve">[15] GitHub — Family Intelligence OS. </w:t>
      </w:r>
      <w:r>
        <w:rPr>
          <w:rFonts w:ascii="Calibri" w:hAnsi="Calibri"/>
          <w:color w:val="2C5F72"/>
          <w:sz w:val="16"/>
        </w:rPr>
        <w:t>https://github.com/frankxai/family-intelligence-os</w:t>
      </w:r>
      <w:r>
        <w:rPr>
          <w:rFonts w:ascii="Calibri" w:hAnsi="Calibri"/>
          <w:color w:val="62706B"/>
          <w:sz w:val="16"/>
        </w:rPr>
        <w:t xml:space="preserve"> — Policy, roles and audit patterns</w:t>
      </w:r>
    </w:p>
    <w:p>
      <w:pPr>
        <w:spacing w:after="80" w:line="252" w:lineRule="auto"/>
        <w:ind w:left="259" w:hanging="259"/>
      </w:pPr>
      <w:r>
        <w:rPr>
          <w:rFonts w:ascii="Calibri" w:hAnsi="Calibri"/>
          <w:b/>
          <w:color w:val="173F35"/>
          <w:sz w:val="17"/>
        </w:rPr>
        <w:t xml:space="preserve">[16] GitHub — Starlight Knowledge Tree. </w:t>
      </w:r>
      <w:r>
        <w:rPr>
          <w:rFonts w:ascii="Calibri" w:hAnsi="Calibri"/>
          <w:color w:val="2C5F72"/>
          <w:sz w:val="16"/>
        </w:rPr>
        <w:t>https://github.com/frankxai/starlight-knowledge-tree</w:t>
      </w:r>
      <w:r>
        <w:rPr>
          <w:rFonts w:ascii="Calibri" w:hAnsi="Calibri"/>
          <w:color w:val="62706B"/>
          <w:sz w:val="16"/>
        </w:rPr>
        <w:t xml:space="preserve"> — Public evidence graph boundary</w:t>
      </w:r>
    </w:p>
    <w:p>
      <w:pPr>
        <w:spacing w:after="80" w:line="252" w:lineRule="auto"/>
        <w:ind w:left="259" w:hanging="259"/>
      </w:pPr>
      <w:r>
        <w:rPr>
          <w:rFonts w:ascii="Calibri" w:hAnsi="Calibri"/>
          <w:b/>
          <w:color w:val="173F35"/>
          <w:sz w:val="17"/>
        </w:rPr>
        <w:t xml:space="preserve">[17] EUR-Lex — General Data Protection Regulation. </w:t>
      </w:r>
      <w:r>
        <w:rPr>
          <w:rFonts w:ascii="Calibri" w:hAnsi="Calibri"/>
          <w:color w:val="2C5F72"/>
          <w:sz w:val="16"/>
        </w:rPr>
        <w:t>https://eur-lex.europa.eu/eli/reg/2016/679/oj/eng</w:t>
      </w:r>
      <w:r>
        <w:rPr>
          <w:rFonts w:ascii="Calibri" w:hAnsi="Calibri"/>
          <w:color w:val="62706B"/>
          <w:sz w:val="16"/>
        </w:rPr>
        <w:t xml:space="preserve"> — Health data, children and DPIA</w:t>
      </w:r>
    </w:p>
    <w:p>
      <w:pPr>
        <w:spacing w:after="80" w:line="252" w:lineRule="auto"/>
        <w:ind w:left="259" w:hanging="259"/>
      </w:pPr>
      <w:r>
        <w:rPr>
          <w:rFonts w:ascii="Calibri" w:hAnsi="Calibri"/>
          <w:b/>
          <w:color w:val="173F35"/>
          <w:sz w:val="17"/>
        </w:rPr>
        <w:t xml:space="preserve">[18] European Commission — AI Act. </w:t>
      </w:r>
      <w:r>
        <w:rPr>
          <w:rFonts w:ascii="Calibri" w:hAnsi="Calibri"/>
          <w:color w:val="2C5F72"/>
          <w:sz w:val="16"/>
        </w:rPr>
        <w:t>https://digital-strategy.ec.europa.eu/en/policies/regulatory-framework-ai</w:t>
      </w:r>
      <w:r>
        <w:rPr>
          <w:rFonts w:ascii="Calibri" w:hAnsi="Calibri"/>
          <w:color w:val="62706B"/>
          <w:sz w:val="16"/>
        </w:rPr>
        <w:t xml:space="preserve"> — Transparency and high-risk obligations</w:t>
      </w:r>
    </w:p>
    <w:p>
      <w:pPr>
        <w:spacing w:after="80" w:line="252" w:lineRule="auto"/>
        <w:ind w:left="259" w:hanging="259"/>
      </w:pPr>
      <w:r>
        <w:rPr>
          <w:rFonts w:ascii="Calibri" w:hAnsi="Calibri"/>
          <w:b/>
          <w:color w:val="173F35"/>
          <w:sz w:val="17"/>
        </w:rPr>
        <w:t xml:space="preserve">[19] European Commission — MDCG guidance. </w:t>
      </w:r>
      <w:r>
        <w:rPr>
          <w:rFonts w:ascii="Calibri" w:hAnsi="Calibri"/>
          <w:color w:val="2C5F72"/>
          <w:sz w:val="16"/>
        </w:rPr>
        <w:t>https://health.ec.europa.eu/medical-devices-sector/new-regulations/guidance-mdcg-endorsed-documents-and-other-guidance_en</w:t>
      </w:r>
      <w:r>
        <w:rPr>
          <w:rFonts w:ascii="Calibri" w:hAnsi="Calibri"/>
          <w:color w:val="62706B"/>
          <w:sz w:val="16"/>
        </w:rPr>
        <w:t xml:space="preserve"> — Medical-device software qualification</w:t>
      </w:r>
    </w:p>
    <w:p>
      <w:pPr>
        <w:spacing w:after="80" w:line="252" w:lineRule="auto"/>
        <w:ind w:left="259" w:hanging="259"/>
      </w:pPr>
      <w:r>
        <w:rPr>
          <w:rFonts w:ascii="Calibri" w:hAnsi="Calibri"/>
          <w:b/>
          <w:color w:val="173F35"/>
          <w:sz w:val="17"/>
        </w:rPr>
        <w:t xml:space="preserve">[20] Porcari et al. — International consensus on microbiome testing. </w:t>
      </w:r>
      <w:r>
        <w:rPr>
          <w:rFonts w:ascii="Calibri" w:hAnsi="Calibri"/>
          <w:color w:val="2C5F72"/>
          <w:sz w:val="16"/>
        </w:rPr>
        <w:t>https://pubmed.ncbi.nlm.nih.gov/39647502/</w:t>
      </w:r>
      <w:r>
        <w:rPr>
          <w:rFonts w:ascii="Calibri" w:hAnsi="Calibri"/>
          <w:color w:val="62706B"/>
          <w:sz w:val="16"/>
        </w:rPr>
        <w:t xml:space="preserve"> — Clinical-use evidence boundary</w:t>
      </w:r>
    </w:p>
    <w:p>
      <w:pPr>
        <w:spacing w:after="80" w:line="252" w:lineRule="auto"/>
        <w:ind w:left="259" w:hanging="259"/>
      </w:pPr>
      <w:r>
        <w:rPr>
          <w:rFonts w:ascii="Calibri" w:hAnsi="Calibri"/>
          <w:b/>
          <w:color w:val="173F35"/>
          <w:sz w:val="17"/>
        </w:rPr>
        <w:t xml:space="preserve">[21] Servetas et al. — DTC microbiome test analytical performance. </w:t>
      </w:r>
      <w:r>
        <w:rPr>
          <w:rFonts w:ascii="Calibri" w:hAnsi="Calibri"/>
          <w:color w:val="2C5F72"/>
          <w:sz w:val="16"/>
        </w:rPr>
        <w:t>https://www.nature.com/articles/s42003-025-09301-3</w:t>
      </w:r>
      <w:r>
        <w:rPr>
          <w:rFonts w:ascii="Calibri" w:hAnsi="Calibri"/>
          <w:color w:val="62706B"/>
          <w:sz w:val="16"/>
        </w:rPr>
        <w:t xml:space="preserve"> — Cross-provider variability and validity concerns</w:t>
      </w:r>
    </w:p>
    <w:sectPr w:rsidR="00FC693F" w:rsidRPr="0006063C" w:rsidSect="00034616">
      <w:headerReference w:type="default" r:id="rId9"/>
      <w:footerReference w:type="default" r:id="rId10"/>
      <w:pgSz w:w="12240" w:h="15840"/>
      <w:pgMar w:top="1181" w:right="1440" w:bottom="1123"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2706B"/>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173F35"/>
        <w:sz w:val="17"/>
      </w:rPr>
      <w:t>ALBA GUT INTELLIGENCE SYSTEM</w:t>
    </w:r>
    <w:r>
      <w:rPr>
        <w:rFonts w:ascii="Calibri" w:hAnsi="Calibri"/>
        <w:color w:val="62706B"/>
        <w:sz w:val="17"/>
      </w:rPr>
      <w:t xml:space="preserve">  ·  PARTNER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B26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3F3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C5F7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F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F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2C5F72"/>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62706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Alba Gut Intelligence System — Partner Architecture</dc:title>
  <dc:subject>Governed parent journey, skills, agents, data architecture and pilot</dc:subject>
  <dc:creator>Starlight Intelligence Systems · FrankX</dc:creator>
  <cp:keywords>Alba Health, Nora Cavani, gut intelligence, Starlight, health AI, family health</cp:keywords>
  <dc:description>Prepared from public research and the user's existing Starlight/Health Intelligence assets.</dc:description>
  <cp:lastModifiedBy/>
  <cp:revision>1</cp:revision>
  <dcterms:created xsi:type="dcterms:W3CDTF">2013-12-23T23:15:00Z</dcterms:created>
  <dcterms:modified xsi:type="dcterms:W3CDTF">2013-12-23T23:15:00Z</dcterms:modified>
  <cp:category/>
</cp:coreProperties>
</file>