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F2A60" w14:textId="10799C61" w:rsidR="00D26E5B" w:rsidRDefault="00D26E5B" w:rsidP="00D26E5B">
      <w:pPr>
        <w:jc w:val="center"/>
        <w:rPr>
          <w:rFonts w:ascii="標楷體" w:eastAsia="標楷體" w:hAnsi="標楷體"/>
          <w:b/>
          <w:color w:val="202124"/>
          <w:sz w:val="36"/>
          <w:szCs w:val="36"/>
          <w:shd w:val="clear" w:color="auto" w:fill="FFFFFF"/>
        </w:rPr>
      </w:pPr>
      <w:r w:rsidRPr="00D26E5B">
        <w:rPr>
          <w:rFonts w:ascii="標楷體" w:eastAsia="標楷體" w:hAnsi="標楷體"/>
          <w:b/>
          <w:color w:val="202124"/>
          <w:sz w:val="36"/>
          <w:szCs w:val="36"/>
          <w:shd w:val="clear" w:color="auto" w:fill="FFFFFF"/>
        </w:rPr>
        <w:t>比較修法前後之支付命令</w:t>
      </w:r>
    </w:p>
    <w:p w14:paraId="0E3F7C5C" w14:textId="7FF1081E" w:rsidR="00D26E5B" w:rsidRPr="00D26E5B" w:rsidRDefault="00D26E5B" w:rsidP="00D26E5B">
      <w:pPr>
        <w:ind w:right="480"/>
        <w:jc w:val="center"/>
        <w:rPr>
          <w:rFonts w:ascii="標楷體" w:eastAsia="標楷體" w:hAnsi="標楷體"/>
          <w:color w:val="202124"/>
          <w:sz w:val="26"/>
          <w:szCs w:val="26"/>
          <w:shd w:val="clear" w:color="auto" w:fill="FFFFFF"/>
        </w:rPr>
      </w:pPr>
      <w:r>
        <w:rPr>
          <w:rFonts w:ascii="標楷體" w:eastAsia="標楷體" w:hAnsi="標楷體" w:hint="eastAsia"/>
          <w:color w:val="202124"/>
          <w:sz w:val="26"/>
          <w:szCs w:val="26"/>
          <w:shd w:val="clear" w:color="auto" w:fill="FFFFFF"/>
        </w:rPr>
        <w:t xml:space="preserve">    </w:t>
      </w:r>
      <w:r w:rsidRPr="00D26E5B">
        <w:rPr>
          <w:rFonts w:ascii="標楷體" w:eastAsia="標楷體" w:hAnsi="標楷體" w:hint="eastAsia"/>
          <w:color w:val="202124"/>
          <w:sz w:val="26"/>
          <w:szCs w:val="26"/>
          <w:shd w:val="clear" w:color="auto" w:fill="FFFFFF"/>
        </w:rPr>
        <w:t>徐敬哲</w:t>
      </w:r>
    </w:p>
    <w:p w14:paraId="54AD734F" w14:textId="77777777" w:rsidR="00D26E5B" w:rsidRDefault="00D26E5B" w:rsidP="00D26E5B">
      <w:pPr>
        <w:ind w:right="480"/>
        <w:jc w:val="center"/>
        <w:rPr>
          <w:rFonts w:ascii="標楷體" w:eastAsia="標楷體" w:hAnsi="標楷體"/>
          <w:szCs w:val="24"/>
        </w:rPr>
      </w:pPr>
    </w:p>
    <w:p w14:paraId="7310D030" w14:textId="799E7A46" w:rsidR="00D26E5B" w:rsidRPr="00D26E5B" w:rsidRDefault="00AA4E66" w:rsidP="00D26E5B">
      <w:pPr>
        <w:pStyle w:val="a3"/>
        <w:numPr>
          <w:ilvl w:val="0"/>
          <w:numId w:val="44"/>
        </w:numPr>
        <w:ind w:leftChars="0"/>
        <w:jc w:val="both"/>
        <w:rPr>
          <w:rFonts w:ascii="標楷體" w:eastAsia="標楷體" w:hAnsi="標楷體"/>
          <w:szCs w:val="24"/>
        </w:rPr>
      </w:pPr>
      <w:r w:rsidRPr="00D26E5B">
        <w:rPr>
          <w:rFonts w:ascii="標楷體" w:eastAsia="標楷體" w:hAnsi="標楷體" w:hint="eastAsia"/>
          <w:szCs w:val="24"/>
        </w:rPr>
        <w:t>督促程序之前言</w:t>
      </w:r>
    </w:p>
    <w:p w14:paraId="4BDD83E6" w14:textId="77777777" w:rsidR="00DC14E6" w:rsidRPr="00F27425" w:rsidRDefault="00DC14E6" w:rsidP="007A4DCC">
      <w:pPr>
        <w:jc w:val="both"/>
        <w:rPr>
          <w:rFonts w:ascii="標楷體" w:eastAsia="標楷體" w:hAnsi="標楷體"/>
          <w:szCs w:val="24"/>
        </w:rPr>
      </w:pPr>
    </w:p>
    <w:p w14:paraId="0C19E16E" w14:textId="77777777" w:rsidR="00DC14E6" w:rsidRPr="00F27425" w:rsidRDefault="00D10A91" w:rsidP="007A4DCC">
      <w:pPr>
        <w:pStyle w:val="a3"/>
        <w:numPr>
          <w:ilvl w:val="0"/>
          <w:numId w:val="2"/>
        </w:numPr>
        <w:ind w:leftChars="0"/>
        <w:jc w:val="both"/>
        <w:rPr>
          <w:rFonts w:ascii="標楷體" w:eastAsia="標楷體" w:hAnsi="標楷體"/>
          <w:szCs w:val="24"/>
        </w:rPr>
      </w:pPr>
      <w:r w:rsidRPr="00F27425">
        <w:rPr>
          <w:rFonts w:ascii="標楷體" w:eastAsia="標楷體" w:hAnsi="標楷體" w:hint="eastAsia"/>
          <w:szCs w:val="24"/>
        </w:rPr>
        <w:t>督促</w:t>
      </w:r>
      <w:r w:rsidR="00DC14E6" w:rsidRPr="00F27425">
        <w:rPr>
          <w:rFonts w:ascii="標楷體" w:eastAsia="標楷體" w:hAnsi="標楷體" w:hint="eastAsia"/>
          <w:szCs w:val="24"/>
        </w:rPr>
        <w:t>程序之</w:t>
      </w:r>
      <w:r w:rsidRPr="00F27425">
        <w:rPr>
          <w:rFonts w:ascii="標楷體" w:eastAsia="標楷體" w:hAnsi="標楷體" w:hint="eastAsia"/>
          <w:szCs w:val="24"/>
        </w:rPr>
        <w:t>意義</w:t>
      </w:r>
    </w:p>
    <w:p w14:paraId="57E9E864" w14:textId="176F3361" w:rsidR="00DB7B32" w:rsidRPr="00F27425" w:rsidRDefault="00DB7B32" w:rsidP="00D42A60">
      <w:pPr>
        <w:ind w:leftChars="200" w:left="480" w:firstLineChars="200" w:firstLine="480"/>
        <w:jc w:val="both"/>
        <w:rPr>
          <w:rFonts w:ascii="標楷體" w:eastAsia="標楷體" w:hAnsi="標楷體"/>
          <w:szCs w:val="24"/>
        </w:rPr>
      </w:pPr>
      <w:r w:rsidRPr="00F27425">
        <w:rPr>
          <w:rFonts w:ascii="標楷體" w:eastAsia="標楷體" w:hAnsi="標楷體" w:hint="eastAsia"/>
          <w:szCs w:val="24"/>
        </w:rPr>
        <w:t>民事訴訟法第六編所明文之督促程序，其所代表之意義，</w:t>
      </w:r>
      <w:r w:rsidR="00120BF4" w:rsidRPr="00F27425">
        <w:rPr>
          <w:rFonts w:ascii="標楷體" w:eastAsia="標楷體" w:hAnsi="標楷體" w:hint="eastAsia"/>
          <w:szCs w:val="24"/>
        </w:rPr>
        <w:t>係以支付命令之核發及異議程序，透過債權人一方之聲請，在不經言詞辯論程序下，法院即向債務人發支付命令，倘若該命令經合法送達且債務人也未於法定期間內提出異議，則該支付命令即具有與確定判決</w:t>
      </w:r>
      <w:r w:rsidR="00910E5A" w:rsidRPr="00F27425">
        <w:rPr>
          <w:rFonts w:ascii="標楷體" w:eastAsia="標楷體" w:hAnsi="標楷體" w:hint="eastAsia"/>
          <w:szCs w:val="24"/>
        </w:rPr>
        <w:t>同之之效力</w:t>
      </w:r>
      <w:r w:rsidR="00B35E6C" w:rsidRPr="00F27425">
        <w:rPr>
          <w:rStyle w:val="a6"/>
          <w:rFonts w:ascii="標楷體" w:eastAsia="標楷體" w:hAnsi="標楷體"/>
          <w:szCs w:val="24"/>
        </w:rPr>
        <w:footnoteReference w:id="1"/>
      </w:r>
      <w:r w:rsidR="00D10A91" w:rsidRPr="00F27425">
        <w:rPr>
          <w:rFonts w:ascii="標楷體" w:eastAsia="標楷體" w:hAnsi="標楷體" w:hint="eastAsia"/>
          <w:szCs w:val="24"/>
        </w:rPr>
        <w:t>(適用流程如表1-1所示)</w:t>
      </w:r>
      <w:r w:rsidR="00120BF4" w:rsidRPr="00F27425">
        <w:rPr>
          <w:rFonts w:ascii="標楷體" w:eastAsia="標楷體" w:hAnsi="標楷體" w:hint="eastAsia"/>
          <w:szCs w:val="24"/>
        </w:rPr>
        <w:t>。此一制度之設立目的在於</w:t>
      </w:r>
      <w:r w:rsidR="00B35E6C" w:rsidRPr="00F27425">
        <w:rPr>
          <w:rFonts w:ascii="標楷體" w:eastAsia="標楷體" w:hAnsi="標楷體" w:hint="eastAsia"/>
          <w:szCs w:val="24"/>
        </w:rPr>
        <w:t>藉以上述程序，以較通常程序快速、簡易、便宜之特別程序，疏減法院審理不必要訴訟之負擔，更進而使債權人得迅速</w:t>
      </w:r>
      <w:r w:rsidR="002F03DF">
        <w:rPr>
          <w:rFonts w:ascii="標楷體" w:eastAsia="標楷體" w:hAnsi="標楷體" w:hint="eastAsia"/>
          <w:szCs w:val="24"/>
        </w:rPr>
        <w:t>的</w:t>
      </w:r>
      <w:r w:rsidR="00B35E6C" w:rsidRPr="00F27425">
        <w:rPr>
          <w:rFonts w:ascii="標楷體" w:eastAsia="標楷體" w:hAnsi="標楷體" w:hint="eastAsia"/>
          <w:szCs w:val="24"/>
        </w:rPr>
        <w:t xml:space="preserve">取得強制執行名義。 </w:t>
      </w:r>
    </w:p>
    <w:p w14:paraId="43851D58" w14:textId="77777777" w:rsidR="00D10A91" w:rsidRPr="00F27425" w:rsidRDefault="00D10A91" w:rsidP="007A4DCC">
      <w:pPr>
        <w:pStyle w:val="a3"/>
        <w:ind w:leftChars="0"/>
        <w:jc w:val="both"/>
        <w:rPr>
          <w:rFonts w:ascii="標楷體" w:eastAsia="標楷體" w:hAnsi="標楷體"/>
          <w:szCs w:val="24"/>
        </w:rPr>
      </w:pPr>
    </w:p>
    <w:p w14:paraId="64C38AB7" w14:textId="77777777" w:rsidR="00D10A91" w:rsidRPr="00F27425" w:rsidRDefault="00D10A91" w:rsidP="007A4DCC">
      <w:pPr>
        <w:pStyle w:val="a3"/>
        <w:ind w:leftChars="0"/>
        <w:jc w:val="both"/>
        <w:rPr>
          <w:rFonts w:ascii="標楷體" w:eastAsia="標楷體" w:hAnsi="標楷體"/>
          <w:szCs w:val="24"/>
        </w:rPr>
      </w:pPr>
      <w:r w:rsidRPr="00F27425">
        <w:rPr>
          <w:rFonts w:ascii="標楷體" w:eastAsia="標楷體" w:hAnsi="標楷體" w:hint="eastAsia"/>
          <w:szCs w:val="24"/>
        </w:rPr>
        <w:t>表1</w:t>
      </w:r>
      <w:r w:rsidRPr="00F27425">
        <w:rPr>
          <w:rFonts w:ascii="標楷體" w:eastAsia="標楷體" w:hAnsi="標楷體"/>
          <w:szCs w:val="24"/>
        </w:rPr>
        <w:t>-1</w:t>
      </w:r>
      <w:r w:rsidRPr="00F27425">
        <w:rPr>
          <w:rFonts w:ascii="標楷體" w:eastAsia="標楷體" w:hAnsi="標楷體" w:hint="eastAsia"/>
          <w:szCs w:val="24"/>
        </w:rPr>
        <w:t xml:space="preserve"> 督促程序之流程圖</w:t>
      </w:r>
    </w:p>
    <w:p w14:paraId="3CAD6ED7" w14:textId="77777777" w:rsidR="00D10A91" w:rsidRPr="00F27425" w:rsidRDefault="00D10A91" w:rsidP="007A4DCC">
      <w:pPr>
        <w:pStyle w:val="a3"/>
        <w:ind w:leftChars="0"/>
        <w:jc w:val="both"/>
        <w:rPr>
          <w:rFonts w:ascii="標楷體" w:eastAsia="標楷體" w:hAnsi="標楷體"/>
          <w:szCs w:val="24"/>
        </w:rPr>
      </w:pPr>
      <w:r w:rsidRPr="00F27425">
        <w:rPr>
          <w:rFonts w:ascii="標楷體" w:eastAsia="標楷體" w:hAnsi="標楷體"/>
          <w:noProof/>
          <w:szCs w:val="24"/>
        </w:rPr>
        <w:drawing>
          <wp:anchor distT="0" distB="0" distL="114300" distR="114300" simplePos="0" relativeHeight="251660288" behindDoc="1" locked="0" layoutInCell="1" allowOverlap="1" wp14:anchorId="5315965E" wp14:editId="7E3678EC">
            <wp:simplePos x="0" y="0"/>
            <wp:positionH relativeFrom="margin">
              <wp:posOffset>381000</wp:posOffset>
            </wp:positionH>
            <wp:positionV relativeFrom="paragraph">
              <wp:posOffset>85090</wp:posOffset>
            </wp:positionV>
            <wp:extent cx="4476750" cy="2602230"/>
            <wp:effectExtent l="0" t="0" r="0" b="7620"/>
            <wp:wrapTight wrapText="bothSides">
              <wp:wrapPolygon edited="0">
                <wp:start x="0" y="0"/>
                <wp:lineTo x="0" y="21505"/>
                <wp:lineTo x="21508" y="21505"/>
                <wp:lineTo x="2150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454" t="37142" r="32075" b="26163"/>
                    <a:stretch/>
                  </pic:blipFill>
                  <pic:spPr bwMode="auto">
                    <a:xfrm>
                      <a:off x="0" y="0"/>
                      <a:ext cx="4476750" cy="2602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81F835" w14:textId="77777777" w:rsidR="00D10A91" w:rsidRPr="00F27425" w:rsidRDefault="00D10A91" w:rsidP="007A4DCC">
      <w:pPr>
        <w:pStyle w:val="a3"/>
        <w:ind w:leftChars="0"/>
        <w:jc w:val="both"/>
        <w:rPr>
          <w:rFonts w:ascii="標楷體" w:eastAsia="標楷體" w:hAnsi="標楷體"/>
          <w:szCs w:val="24"/>
        </w:rPr>
      </w:pPr>
    </w:p>
    <w:p w14:paraId="691BFBBE" w14:textId="77777777" w:rsidR="00D10A91" w:rsidRPr="00F27425" w:rsidRDefault="00D10A91" w:rsidP="007A4DCC">
      <w:pPr>
        <w:pStyle w:val="a3"/>
        <w:ind w:leftChars="0"/>
        <w:jc w:val="both"/>
        <w:rPr>
          <w:rFonts w:ascii="標楷體" w:eastAsia="標楷體" w:hAnsi="標楷體"/>
          <w:szCs w:val="24"/>
        </w:rPr>
      </w:pPr>
    </w:p>
    <w:p w14:paraId="719596D7" w14:textId="77777777" w:rsidR="00D10A91" w:rsidRPr="00F27425" w:rsidRDefault="00D10A91" w:rsidP="007A4DCC">
      <w:pPr>
        <w:pStyle w:val="a3"/>
        <w:ind w:leftChars="0"/>
        <w:jc w:val="both"/>
        <w:rPr>
          <w:rFonts w:ascii="標楷體" w:eastAsia="標楷體" w:hAnsi="標楷體"/>
          <w:szCs w:val="24"/>
        </w:rPr>
      </w:pPr>
    </w:p>
    <w:p w14:paraId="12C8A8C0" w14:textId="77777777" w:rsidR="00D10A91" w:rsidRPr="00F27425" w:rsidRDefault="00D10A91" w:rsidP="007A4DCC">
      <w:pPr>
        <w:pStyle w:val="a3"/>
        <w:ind w:leftChars="0"/>
        <w:jc w:val="both"/>
        <w:rPr>
          <w:rFonts w:ascii="標楷體" w:eastAsia="標楷體" w:hAnsi="標楷體"/>
          <w:szCs w:val="24"/>
        </w:rPr>
      </w:pPr>
    </w:p>
    <w:p w14:paraId="36FE7DEE" w14:textId="77777777" w:rsidR="00D10A91" w:rsidRPr="00F27425" w:rsidRDefault="00D10A91" w:rsidP="007A4DCC">
      <w:pPr>
        <w:pStyle w:val="a3"/>
        <w:ind w:leftChars="0"/>
        <w:jc w:val="both"/>
        <w:rPr>
          <w:rFonts w:ascii="標楷體" w:eastAsia="標楷體" w:hAnsi="標楷體"/>
          <w:szCs w:val="24"/>
        </w:rPr>
      </w:pPr>
    </w:p>
    <w:p w14:paraId="5C31E56E" w14:textId="77777777" w:rsidR="00B35E6C" w:rsidRPr="00F27425" w:rsidRDefault="00B35E6C" w:rsidP="007A4DCC">
      <w:pPr>
        <w:pStyle w:val="a3"/>
        <w:ind w:leftChars="0"/>
        <w:jc w:val="both"/>
        <w:rPr>
          <w:rFonts w:ascii="標楷體" w:eastAsia="標楷體" w:hAnsi="標楷體"/>
          <w:szCs w:val="24"/>
        </w:rPr>
      </w:pPr>
    </w:p>
    <w:p w14:paraId="013BA23A" w14:textId="77777777" w:rsidR="00D10A91" w:rsidRPr="00F27425" w:rsidRDefault="00D10A91" w:rsidP="007A4DCC">
      <w:pPr>
        <w:pStyle w:val="a3"/>
        <w:ind w:leftChars="0"/>
        <w:jc w:val="both"/>
        <w:rPr>
          <w:rFonts w:ascii="標楷體" w:eastAsia="標楷體" w:hAnsi="標楷體"/>
          <w:szCs w:val="24"/>
        </w:rPr>
      </w:pPr>
    </w:p>
    <w:p w14:paraId="67CB48CF" w14:textId="77777777" w:rsidR="00D10A91" w:rsidRPr="00F27425" w:rsidRDefault="00D10A91" w:rsidP="007A4DCC">
      <w:pPr>
        <w:pStyle w:val="a3"/>
        <w:ind w:leftChars="0"/>
        <w:jc w:val="both"/>
        <w:rPr>
          <w:rFonts w:ascii="標楷體" w:eastAsia="標楷體" w:hAnsi="標楷體"/>
          <w:szCs w:val="24"/>
        </w:rPr>
      </w:pPr>
    </w:p>
    <w:p w14:paraId="7CB520D0" w14:textId="77777777" w:rsidR="00D10A91" w:rsidRPr="00F27425" w:rsidRDefault="00D10A91" w:rsidP="007A4DCC">
      <w:pPr>
        <w:pStyle w:val="a3"/>
        <w:ind w:leftChars="0"/>
        <w:jc w:val="both"/>
        <w:rPr>
          <w:rFonts w:ascii="標楷體" w:eastAsia="標楷體" w:hAnsi="標楷體"/>
          <w:szCs w:val="24"/>
        </w:rPr>
      </w:pPr>
    </w:p>
    <w:p w14:paraId="4BB8BB48" w14:textId="77777777" w:rsidR="00D10A91" w:rsidRPr="00F27425" w:rsidRDefault="00D10A91" w:rsidP="007A4DCC">
      <w:pPr>
        <w:pStyle w:val="a3"/>
        <w:ind w:leftChars="0"/>
        <w:jc w:val="both"/>
        <w:rPr>
          <w:rFonts w:ascii="標楷體" w:eastAsia="標楷體" w:hAnsi="標楷體"/>
          <w:szCs w:val="24"/>
        </w:rPr>
      </w:pPr>
    </w:p>
    <w:p w14:paraId="08F58C68" w14:textId="77777777" w:rsidR="00D10A91" w:rsidRPr="00F27425" w:rsidRDefault="00D10A91" w:rsidP="007A4DCC">
      <w:pPr>
        <w:pStyle w:val="a3"/>
        <w:ind w:leftChars="0"/>
        <w:jc w:val="both"/>
        <w:rPr>
          <w:rFonts w:ascii="標楷體" w:eastAsia="標楷體" w:hAnsi="標楷體"/>
          <w:szCs w:val="24"/>
        </w:rPr>
      </w:pPr>
    </w:p>
    <w:p w14:paraId="4F181DB0" w14:textId="77777777" w:rsidR="00D10A91" w:rsidRPr="00F27425" w:rsidRDefault="00D10A91" w:rsidP="007A4DCC">
      <w:pPr>
        <w:pStyle w:val="a3"/>
        <w:ind w:leftChars="0"/>
        <w:jc w:val="both"/>
        <w:rPr>
          <w:rFonts w:ascii="標楷體" w:eastAsia="標楷體" w:hAnsi="標楷體"/>
          <w:szCs w:val="24"/>
        </w:rPr>
      </w:pPr>
    </w:p>
    <w:p w14:paraId="6B37D3B5" w14:textId="77777777" w:rsidR="00042244" w:rsidRPr="00F27425" w:rsidRDefault="00042244" w:rsidP="007A4DCC">
      <w:pPr>
        <w:pStyle w:val="a3"/>
        <w:numPr>
          <w:ilvl w:val="0"/>
          <w:numId w:val="6"/>
        </w:numPr>
        <w:ind w:leftChars="0"/>
        <w:jc w:val="both"/>
        <w:rPr>
          <w:rFonts w:ascii="標楷體" w:eastAsia="標楷體" w:hAnsi="標楷體"/>
          <w:vanish/>
          <w:szCs w:val="24"/>
        </w:rPr>
      </w:pPr>
    </w:p>
    <w:p w14:paraId="57C1C0BC" w14:textId="77777777" w:rsidR="00B35E6C" w:rsidRPr="00F27425" w:rsidRDefault="00042244" w:rsidP="007A4DCC">
      <w:pPr>
        <w:pStyle w:val="a3"/>
        <w:numPr>
          <w:ilvl w:val="0"/>
          <w:numId w:val="6"/>
        </w:numPr>
        <w:ind w:leftChars="0"/>
        <w:jc w:val="both"/>
        <w:rPr>
          <w:rFonts w:ascii="標楷體" w:eastAsia="標楷體" w:hAnsi="標楷體"/>
          <w:szCs w:val="24"/>
        </w:rPr>
      </w:pPr>
      <w:r w:rsidRPr="00F27425">
        <w:rPr>
          <w:rFonts w:ascii="標楷體" w:eastAsia="標楷體" w:hAnsi="標楷體" w:hint="eastAsia"/>
          <w:szCs w:val="24"/>
        </w:rPr>
        <w:t>督促程序之立法沿革</w:t>
      </w:r>
      <w:r w:rsidR="0041206E" w:rsidRPr="00F27425">
        <w:rPr>
          <w:rFonts w:ascii="標楷體" w:eastAsia="標楷體" w:hAnsi="標楷體" w:hint="eastAsia"/>
          <w:szCs w:val="24"/>
        </w:rPr>
        <w:t>與問題</w:t>
      </w:r>
    </w:p>
    <w:p w14:paraId="3F0BE169" w14:textId="34014AAB" w:rsidR="00EB0ADF" w:rsidRPr="00F27425" w:rsidRDefault="00042244" w:rsidP="00D42A60">
      <w:pPr>
        <w:ind w:leftChars="200" w:left="480" w:firstLineChars="200" w:firstLine="480"/>
        <w:jc w:val="both"/>
        <w:rPr>
          <w:rFonts w:ascii="標楷體" w:eastAsia="標楷體" w:hAnsi="標楷體"/>
          <w:szCs w:val="24"/>
        </w:rPr>
      </w:pPr>
      <w:r w:rsidRPr="00F27425">
        <w:rPr>
          <w:rFonts w:ascii="標楷體" w:eastAsia="標楷體" w:hAnsi="標楷體" w:hint="eastAsia"/>
          <w:szCs w:val="24"/>
        </w:rPr>
        <w:t>民事訴訟法為疏減案源，減輕法院之負擔，仿效日本、德國之立法例，特設督促程序之一章。</w:t>
      </w:r>
      <w:r w:rsidR="00473DD4" w:rsidRPr="00F27425">
        <w:rPr>
          <w:rFonts w:ascii="標楷體" w:eastAsia="標楷體" w:hAnsi="標楷體" w:hint="eastAsia"/>
          <w:szCs w:val="24"/>
        </w:rPr>
        <w:t>督促</w:t>
      </w:r>
      <w:r w:rsidR="00A82E83" w:rsidRPr="00F27425">
        <w:rPr>
          <w:rFonts w:ascii="標楷體" w:eastAsia="標楷體" w:hAnsi="標楷體" w:hint="eastAsia"/>
          <w:szCs w:val="24"/>
        </w:rPr>
        <w:t>程序最初</w:t>
      </w:r>
      <w:r w:rsidR="00473DD4" w:rsidRPr="00F27425">
        <w:rPr>
          <w:rFonts w:ascii="標楷體" w:eastAsia="標楷體" w:hAnsi="標楷體" w:hint="eastAsia"/>
          <w:szCs w:val="24"/>
        </w:rPr>
        <w:t>之</w:t>
      </w:r>
      <w:r w:rsidR="00A82E83" w:rsidRPr="00F27425">
        <w:rPr>
          <w:rFonts w:ascii="標楷體" w:eastAsia="標楷體" w:hAnsi="標楷體" w:hint="eastAsia"/>
          <w:szCs w:val="24"/>
        </w:rPr>
        <w:t>立法方式係透過支付命令之核發與聲請宣告假執行之二程序</w:t>
      </w:r>
      <w:r w:rsidR="00473DD4" w:rsidRPr="00F27425">
        <w:rPr>
          <w:rFonts w:ascii="標楷體" w:eastAsia="標楷體" w:hAnsi="標楷體" w:hint="eastAsia"/>
          <w:szCs w:val="24"/>
        </w:rPr>
        <w:t>之併行</w:t>
      </w:r>
      <w:r w:rsidR="00A82E83" w:rsidRPr="00F27425">
        <w:rPr>
          <w:rFonts w:ascii="標楷體" w:eastAsia="標楷體" w:hAnsi="標楷體" w:hint="eastAsia"/>
          <w:szCs w:val="24"/>
        </w:rPr>
        <w:t>，使債權人得以在較於通常程序之較短的時間、較低廉的訟爭費用，即透過上述非訟程序，實現債權</w:t>
      </w:r>
      <w:r w:rsidR="0083008F" w:rsidRPr="00F27425">
        <w:rPr>
          <w:rStyle w:val="a6"/>
          <w:rFonts w:ascii="標楷體" w:eastAsia="標楷體" w:hAnsi="標楷體"/>
          <w:szCs w:val="24"/>
        </w:rPr>
        <w:footnoteReference w:id="2"/>
      </w:r>
      <w:r w:rsidR="00A82E83" w:rsidRPr="00F27425">
        <w:rPr>
          <w:rFonts w:ascii="標楷體" w:eastAsia="標楷體" w:hAnsi="標楷體" w:hint="eastAsia"/>
          <w:szCs w:val="24"/>
        </w:rPr>
        <w:t>。然於民國60年為更擴大此一非</w:t>
      </w:r>
      <w:proofErr w:type="gramStart"/>
      <w:r w:rsidR="00A82E83" w:rsidRPr="00F27425">
        <w:rPr>
          <w:rFonts w:ascii="標楷體" w:eastAsia="標楷體" w:hAnsi="標楷體" w:hint="eastAsia"/>
          <w:szCs w:val="24"/>
        </w:rPr>
        <w:t>訟</w:t>
      </w:r>
      <w:proofErr w:type="gramEnd"/>
      <w:r w:rsidR="00A82E83" w:rsidRPr="00F27425">
        <w:rPr>
          <w:rFonts w:ascii="標楷體" w:eastAsia="標楷體" w:hAnsi="標楷體" w:hint="eastAsia"/>
          <w:szCs w:val="24"/>
        </w:rPr>
        <w:t>程序之適用範圍，立法者於此次修法中，將</w:t>
      </w:r>
      <w:r w:rsidR="00EB0ADF" w:rsidRPr="00F27425">
        <w:rPr>
          <w:rFonts w:ascii="標楷體" w:eastAsia="標楷體" w:hAnsi="標楷體" w:hint="eastAsia"/>
          <w:szCs w:val="24"/>
        </w:rPr>
        <w:t>原程序</w:t>
      </w:r>
      <w:r w:rsidR="00A82E83" w:rsidRPr="00F27425">
        <w:rPr>
          <w:rFonts w:ascii="標楷體" w:eastAsia="標楷體" w:hAnsi="標楷體" w:hint="eastAsia"/>
          <w:szCs w:val="24"/>
        </w:rPr>
        <w:t>之聲請宣告</w:t>
      </w:r>
      <w:r w:rsidR="00A82E83" w:rsidRPr="00F27425">
        <w:rPr>
          <w:rFonts w:ascii="標楷體" w:eastAsia="標楷體" w:hAnsi="標楷體" w:hint="eastAsia"/>
          <w:szCs w:val="24"/>
        </w:rPr>
        <w:lastRenderedPageBreak/>
        <w:t>假執行之程序刪除，亦即</w:t>
      </w:r>
      <w:r w:rsidR="00EB0ADF" w:rsidRPr="00F27425">
        <w:rPr>
          <w:rFonts w:ascii="標楷體" w:eastAsia="標楷體" w:hAnsi="標楷體" w:hint="eastAsia"/>
          <w:szCs w:val="24"/>
        </w:rPr>
        <w:t>債權人僅須透過聲請法院發支付命令</w:t>
      </w:r>
      <w:r w:rsidR="00473DD4" w:rsidRPr="00F27425">
        <w:rPr>
          <w:rFonts w:ascii="標楷體" w:eastAsia="標楷體" w:hAnsi="標楷體" w:hint="eastAsia"/>
          <w:szCs w:val="24"/>
        </w:rPr>
        <w:t>並向債務人合法送達</w:t>
      </w:r>
      <w:r w:rsidR="00EB0ADF" w:rsidRPr="00F27425">
        <w:rPr>
          <w:rFonts w:ascii="標楷體" w:eastAsia="標楷體" w:hAnsi="標楷體" w:hint="eastAsia"/>
          <w:szCs w:val="24"/>
        </w:rPr>
        <w:t>，</w:t>
      </w:r>
      <w:r w:rsidR="00473DD4" w:rsidRPr="00F27425">
        <w:rPr>
          <w:rFonts w:ascii="標楷體" w:eastAsia="標楷體" w:hAnsi="標楷體" w:hint="eastAsia"/>
          <w:szCs w:val="24"/>
        </w:rPr>
        <w:t>於債務人未於法定</w:t>
      </w:r>
      <w:proofErr w:type="gramStart"/>
      <w:r w:rsidR="00473DD4" w:rsidRPr="00F27425">
        <w:rPr>
          <w:rFonts w:ascii="標楷體" w:eastAsia="標楷體" w:hAnsi="標楷體" w:hint="eastAsia"/>
          <w:szCs w:val="24"/>
        </w:rPr>
        <w:t>期間(</w:t>
      </w:r>
      <w:proofErr w:type="gramEnd"/>
      <w:r w:rsidR="00473DD4" w:rsidRPr="00F27425">
        <w:rPr>
          <w:rFonts w:ascii="標楷體" w:eastAsia="標楷體" w:hAnsi="標楷體" w:hint="eastAsia"/>
          <w:szCs w:val="24"/>
        </w:rPr>
        <w:t>二十日)合法提出異議者，</w:t>
      </w:r>
      <w:r w:rsidR="0044032D" w:rsidRPr="00F27425">
        <w:rPr>
          <w:rFonts w:ascii="標楷體" w:eastAsia="標楷體" w:hAnsi="標楷體" w:hint="eastAsia"/>
          <w:szCs w:val="24"/>
        </w:rPr>
        <w:t>債權人即得在一個月左右</w:t>
      </w:r>
      <w:r w:rsidR="00EB0ADF" w:rsidRPr="00F27425">
        <w:rPr>
          <w:rFonts w:ascii="標楷體" w:eastAsia="標楷體" w:hAnsi="標楷體" w:hint="eastAsia"/>
          <w:szCs w:val="24"/>
        </w:rPr>
        <w:t>取得與確定判決有相同效力之支付命令，進而</w:t>
      </w:r>
      <w:r w:rsidR="0044032D" w:rsidRPr="00F27425">
        <w:rPr>
          <w:rFonts w:ascii="標楷體" w:eastAsia="標楷體" w:hAnsi="標楷體" w:hint="eastAsia"/>
          <w:szCs w:val="24"/>
        </w:rPr>
        <w:t>執行。</w:t>
      </w:r>
      <w:r w:rsidR="00EB0ADF" w:rsidRPr="00F27425">
        <w:rPr>
          <w:rFonts w:ascii="標楷體" w:eastAsia="標楷體" w:hAnsi="標楷體" w:hint="eastAsia"/>
          <w:szCs w:val="24"/>
        </w:rPr>
        <w:t>使得當事人間之無實體爭執之金錢給付事件，得以更迅速、簡易確定兩造之權利義務關係</w:t>
      </w:r>
      <w:r w:rsidR="000F2FC0">
        <w:rPr>
          <w:rFonts w:ascii="標楷體" w:eastAsia="標楷體" w:hAnsi="標楷體" w:hint="eastAsia"/>
          <w:szCs w:val="24"/>
        </w:rPr>
        <w:t>；</w:t>
      </w:r>
      <w:r w:rsidR="0044032D" w:rsidRPr="00F27425">
        <w:rPr>
          <w:rFonts w:ascii="標楷體" w:eastAsia="標楷體" w:hAnsi="標楷體" w:hint="eastAsia"/>
          <w:szCs w:val="24"/>
        </w:rPr>
        <w:t>截至</w:t>
      </w:r>
      <w:r w:rsidR="001716CB">
        <w:rPr>
          <w:rFonts w:ascii="標楷體" w:eastAsia="標楷體" w:hAnsi="標楷體" w:hint="eastAsia"/>
          <w:szCs w:val="24"/>
        </w:rPr>
        <w:t>民國</w:t>
      </w:r>
      <w:r w:rsidR="0044032D" w:rsidRPr="00F27425">
        <w:rPr>
          <w:rFonts w:ascii="標楷體" w:eastAsia="標楷體" w:hAnsi="標楷體" w:hint="eastAsia"/>
          <w:szCs w:val="24"/>
        </w:rPr>
        <w:t>104</w:t>
      </w:r>
      <w:r w:rsidR="000F2FC0">
        <w:rPr>
          <w:rFonts w:ascii="標楷體" w:eastAsia="標楷體" w:hAnsi="標楷體" w:hint="eastAsia"/>
          <w:szCs w:val="24"/>
        </w:rPr>
        <w:t>年修法前已</w:t>
      </w:r>
      <w:r w:rsidR="0044032D" w:rsidRPr="00F27425">
        <w:rPr>
          <w:rFonts w:ascii="標楷體" w:eastAsia="標楷體" w:hAnsi="標楷體" w:hint="eastAsia"/>
          <w:szCs w:val="24"/>
        </w:rPr>
        <w:t>成為法院非訟事件之</w:t>
      </w:r>
      <w:proofErr w:type="gramStart"/>
      <w:r w:rsidR="0044032D" w:rsidRPr="00F27425">
        <w:rPr>
          <w:rFonts w:ascii="標楷體" w:eastAsia="標楷體" w:hAnsi="標楷體" w:hint="eastAsia"/>
          <w:szCs w:val="24"/>
        </w:rPr>
        <w:t>大宗</w:t>
      </w:r>
      <w:r w:rsidR="005F22B7" w:rsidRPr="00F27425">
        <w:rPr>
          <w:rFonts w:ascii="標楷體" w:eastAsia="標楷體" w:hAnsi="標楷體" w:hint="eastAsia"/>
          <w:szCs w:val="24"/>
        </w:rPr>
        <w:t>(</w:t>
      </w:r>
      <w:proofErr w:type="gramEnd"/>
      <w:r w:rsidR="005F22B7" w:rsidRPr="00F27425">
        <w:rPr>
          <w:rFonts w:ascii="標楷體" w:eastAsia="標楷體" w:hAnsi="標楷體" w:hint="eastAsia"/>
          <w:szCs w:val="24"/>
        </w:rPr>
        <w:t>相關數據詳見表格1</w:t>
      </w:r>
      <w:r w:rsidR="00D10A91" w:rsidRPr="00F27425">
        <w:rPr>
          <w:rFonts w:ascii="標楷體" w:eastAsia="標楷體" w:hAnsi="標楷體"/>
          <w:szCs w:val="24"/>
        </w:rPr>
        <w:t>-2</w:t>
      </w:r>
      <w:r w:rsidR="005F22B7" w:rsidRPr="00F27425">
        <w:rPr>
          <w:rFonts w:ascii="標楷體" w:eastAsia="標楷體" w:hAnsi="標楷體" w:hint="eastAsia"/>
          <w:szCs w:val="24"/>
        </w:rPr>
        <w:t>)</w:t>
      </w:r>
      <w:r w:rsidR="00EB0ADF" w:rsidRPr="00F27425">
        <w:rPr>
          <w:rFonts w:ascii="標楷體" w:eastAsia="標楷體" w:hAnsi="標楷體" w:hint="eastAsia"/>
          <w:szCs w:val="24"/>
        </w:rPr>
        <w:t>，有效</w:t>
      </w:r>
      <w:r w:rsidR="002F03DF">
        <w:rPr>
          <w:rFonts w:ascii="標楷體" w:eastAsia="標楷體" w:hAnsi="標楷體" w:hint="eastAsia"/>
          <w:szCs w:val="24"/>
        </w:rPr>
        <w:t>的</w:t>
      </w:r>
      <w:r w:rsidR="00473DD4" w:rsidRPr="00F27425">
        <w:rPr>
          <w:rFonts w:ascii="標楷體" w:eastAsia="標楷體" w:hAnsi="標楷體" w:hint="eastAsia"/>
          <w:szCs w:val="24"/>
        </w:rPr>
        <w:t>減輕</w:t>
      </w:r>
      <w:r w:rsidR="00EB0ADF" w:rsidRPr="00F27425">
        <w:rPr>
          <w:rFonts w:ascii="標楷體" w:eastAsia="標楷體" w:hAnsi="標楷體" w:hint="eastAsia"/>
          <w:szCs w:val="24"/>
        </w:rPr>
        <w:t>法院之案源。</w:t>
      </w:r>
      <w:r w:rsidR="00473DD4" w:rsidRPr="00F27425">
        <w:rPr>
          <w:rFonts w:ascii="標楷體" w:eastAsia="標楷體" w:hAnsi="標楷體" w:hint="eastAsia"/>
          <w:szCs w:val="24"/>
        </w:rPr>
        <w:t>然於</w:t>
      </w:r>
      <w:r w:rsidR="00EB0ADF" w:rsidRPr="00F27425">
        <w:rPr>
          <w:rFonts w:ascii="標楷體" w:eastAsia="標楷體" w:hAnsi="標楷體" w:hint="eastAsia"/>
          <w:szCs w:val="24"/>
        </w:rPr>
        <w:t>此次修法</w:t>
      </w:r>
      <w:r w:rsidR="00473DD4" w:rsidRPr="00F27425">
        <w:rPr>
          <w:rFonts w:ascii="標楷體" w:eastAsia="標楷體" w:hAnsi="標楷體" w:hint="eastAsia"/>
          <w:szCs w:val="24"/>
        </w:rPr>
        <w:t>中</w:t>
      </w:r>
      <w:r w:rsidR="00EB0ADF" w:rsidRPr="00F27425">
        <w:rPr>
          <w:rFonts w:ascii="標楷體" w:eastAsia="標楷體" w:hAnsi="標楷體" w:hint="eastAsia"/>
          <w:szCs w:val="24"/>
        </w:rPr>
        <w:t>有學者認為將原所訂立</w:t>
      </w:r>
      <w:r w:rsidR="005F22B7" w:rsidRPr="00F27425">
        <w:rPr>
          <w:rFonts w:ascii="標楷體" w:eastAsia="標楷體" w:hAnsi="標楷體" w:hint="eastAsia"/>
          <w:szCs w:val="24"/>
        </w:rPr>
        <w:t>之假執行程序</w:t>
      </w:r>
      <w:r w:rsidR="00EB0ADF" w:rsidRPr="00F27425">
        <w:rPr>
          <w:rFonts w:ascii="標楷體" w:eastAsia="標楷體" w:hAnsi="標楷體" w:hint="eastAsia"/>
          <w:szCs w:val="24"/>
        </w:rPr>
        <w:t>逕自</w:t>
      </w:r>
      <w:proofErr w:type="gramStart"/>
      <w:r w:rsidR="00EB0ADF" w:rsidRPr="00F27425">
        <w:rPr>
          <w:rFonts w:ascii="標楷體" w:eastAsia="標楷體" w:hAnsi="標楷體" w:hint="eastAsia"/>
          <w:szCs w:val="24"/>
        </w:rPr>
        <w:t>刪</w:t>
      </w:r>
      <w:proofErr w:type="gramEnd"/>
      <w:r w:rsidR="00EB0ADF" w:rsidRPr="00F27425">
        <w:rPr>
          <w:rFonts w:ascii="標楷體" w:eastAsia="標楷體" w:hAnsi="標楷體" w:hint="eastAsia"/>
          <w:szCs w:val="24"/>
        </w:rPr>
        <w:t>替，恐有</w:t>
      </w:r>
      <w:proofErr w:type="gramStart"/>
      <w:r w:rsidR="00EB0ADF" w:rsidRPr="00F27425">
        <w:rPr>
          <w:rFonts w:ascii="標楷體" w:eastAsia="標楷體" w:hAnsi="標楷體" w:hint="eastAsia"/>
          <w:szCs w:val="24"/>
        </w:rPr>
        <w:t>捨優從劣之虞</w:t>
      </w:r>
      <w:proofErr w:type="gramEnd"/>
      <w:r w:rsidR="00EB0ADF" w:rsidRPr="00F27425">
        <w:rPr>
          <w:rFonts w:ascii="標楷體" w:eastAsia="標楷體" w:hAnsi="標楷體" w:hint="eastAsia"/>
          <w:szCs w:val="24"/>
        </w:rPr>
        <w:t>，有</w:t>
      </w:r>
      <w:r w:rsidR="00473DD4" w:rsidRPr="00F27425">
        <w:rPr>
          <w:rFonts w:ascii="標楷體" w:eastAsia="標楷體" w:hAnsi="標楷體" w:hint="eastAsia"/>
          <w:szCs w:val="24"/>
        </w:rPr>
        <w:t>違保護經濟弱者之立法原則。</w:t>
      </w:r>
    </w:p>
    <w:p w14:paraId="45D34F50" w14:textId="77777777" w:rsidR="00473DD4" w:rsidRPr="00F27425" w:rsidRDefault="00473DD4" w:rsidP="007A4DCC">
      <w:pPr>
        <w:pStyle w:val="a3"/>
        <w:ind w:leftChars="0"/>
        <w:jc w:val="both"/>
        <w:rPr>
          <w:rFonts w:ascii="標楷體" w:eastAsia="標楷體" w:hAnsi="標楷體"/>
          <w:szCs w:val="24"/>
        </w:rPr>
      </w:pPr>
    </w:p>
    <w:p w14:paraId="5696858E" w14:textId="6B4CE768" w:rsidR="00473DD4" w:rsidRPr="00F27425" w:rsidRDefault="00473DD4" w:rsidP="00D42A60">
      <w:pPr>
        <w:pStyle w:val="a3"/>
        <w:ind w:leftChars="0" w:firstLineChars="200" w:firstLine="480"/>
        <w:jc w:val="both"/>
        <w:rPr>
          <w:rFonts w:ascii="標楷體" w:eastAsia="標楷體" w:hAnsi="標楷體"/>
          <w:szCs w:val="24"/>
        </w:rPr>
      </w:pPr>
      <w:proofErr w:type="gramStart"/>
      <w:r w:rsidRPr="00F27425">
        <w:rPr>
          <w:rFonts w:ascii="標楷體" w:eastAsia="標楷體" w:hAnsi="標楷體" w:hint="eastAsia"/>
          <w:szCs w:val="24"/>
        </w:rPr>
        <w:t>惟</w:t>
      </w:r>
      <w:proofErr w:type="gramEnd"/>
      <w:r w:rsidR="005F22B7" w:rsidRPr="00F27425">
        <w:rPr>
          <w:rFonts w:ascii="標楷體" w:eastAsia="標楷體" w:hAnsi="標楷體" w:hint="eastAsia"/>
          <w:szCs w:val="24"/>
        </w:rPr>
        <w:t>近年來</w:t>
      </w:r>
      <w:r w:rsidRPr="00F27425">
        <w:rPr>
          <w:rFonts w:ascii="標楷體" w:eastAsia="標楷體" w:hAnsi="標楷體" w:hint="eastAsia"/>
          <w:szCs w:val="24"/>
        </w:rPr>
        <w:t>不法詐騙集團屢濫用支付命令之便宜性</w:t>
      </w:r>
      <w:r w:rsidR="00777AF7" w:rsidRPr="00F27425">
        <w:rPr>
          <w:rFonts w:ascii="標楷體" w:eastAsia="標楷體" w:hAnsi="標楷體" w:hint="eastAsia"/>
          <w:szCs w:val="24"/>
        </w:rPr>
        <w:t>【</w:t>
      </w:r>
      <w:r w:rsidR="00386756" w:rsidRPr="00F27425">
        <w:rPr>
          <w:rFonts w:ascii="標楷體" w:eastAsia="標楷體" w:hAnsi="標楷體" w:hint="eastAsia"/>
          <w:szCs w:val="24"/>
        </w:rPr>
        <w:t>不須透過實體程序之審查、不必檢附證據，亦即法院僅透過形式審查即</w:t>
      </w:r>
      <w:r w:rsidR="00782345">
        <w:rPr>
          <w:rFonts w:ascii="標楷體" w:eastAsia="標楷體" w:hAnsi="標楷體" w:hint="eastAsia"/>
          <w:szCs w:val="24"/>
        </w:rPr>
        <w:t>核發支付命令】。加上目前</w:t>
      </w:r>
      <w:bookmarkStart w:id="0" w:name="_GoBack"/>
      <w:bookmarkEnd w:id="0"/>
      <w:r w:rsidR="00777AF7" w:rsidRPr="00F27425">
        <w:rPr>
          <w:rFonts w:ascii="標楷體" w:eastAsia="標楷體" w:hAnsi="標楷體" w:hint="eastAsia"/>
          <w:szCs w:val="24"/>
        </w:rPr>
        <w:t>一般大眾大多欠缺法律之相關知識。使不肖團體則多持捏造之債權向不特定之大眾隨意發支付命令，並於受支付命令之不特定大眾未於法定不變</w:t>
      </w:r>
      <w:proofErr w:type="gramStart"/>
      <w:r w:rsidR="00777AF7" w:rsidRPr="00F27425">
        <w:rPr>
          <w:rFonts w:ascii="標楷體" w:eastAsia="標楷體" w:hAnsi="標楷體" w:hint="eastAsia"/>
          <w:szCs w:val="24"/>
        </w:rPr>
        <w:t>期間(</w:t>
      </w:r>
      <w:proofErr w:type="gramEnd"/>
      <w:r w:rsidR="00777AF7" w:rsidRPr="00F27425">
        <w:rPr>
          <w:rFonts w:ascii="標楷體" w:eastAsia="標楷體" w:hAnsi="標楷體" w:hint="eastAsia"/>
          <w:szCs w:val="24"/>
        </w:rPr>
        <w:t>二十日)提出異議者，即持著具有與確定判決相同效力之支付命令向法院聲請強制執行實現假債權。然其支付命令雖可提起再審茲為救濟，</w:t>
      </w:r>
      <w:r w:rsidR="0083008F" w:rsidRPr="00F27425">
        <w:rPr>
          <w:rFonts w:ascii="標楷體" w:eastAsia="標楷體" w:hAnsi="標楷體" w:hint="eastAsia"/>
          <w:szCs w:val="24"/>
        </w:rPr>
        <w:t>惟現行法上對於在再審要件認定</w:t>
      </w:r>
      <w:proofErr w:type="gramStart"/>
      <w:r w:rsidR="0083008F" w:rsidRPr="00F27425">
        <w:rPr>
          <w:rFonts w:ascii="標楷體" w:eastAsia="標楷體" w:hAnsi="標楷體" w:hint="eastAsia"/>
          <w:szCs w:val="24"/>
        </w:rPr>
        <w:t>嚴格，</w:t>
      </w:r>
      <w:proofErr w:type="gramEnd"/>
      <w:r w:rsidR="0083008F" w:rsidRPr="00F27425">
        <w:rPr>
          <w:rFonts w:ascii="標楷體" w:eastAsia="標楷體" w:hAnsi="標楷體" w:hint="eastAsia"/>
          <w:szCs w:val="24"/>
        </w:rPr>
        <w:t>實際能夠成功獲得救濟之機會實與非常困難</w:t>
      </w:r>
      <w:r w:rsidR="00364828" w:rsidRPr="00F27425">
        <w:rPr>
          <w:rFonts w:ascii="標楷體" w:eastAsia="標楷體" w:hAnsi="標楷體" w:hint="eastAsia"/>
          <w:szCs w:val="24"/>
        </w:rPr>
        <w:t>，進而衍生若干社會問題</w:t>
      </w:r>
      <w:r w:rsidR="0083008F" w:rsidRPr="00F27425">
        <w:rPr>
          <w:rFonts w:ascii="標楷體" w:eastAsia="標楷體" w:hAnsi="標楷體" w:hint="eastAsia"/>
          <w:szCs w:val="24"/>
        </w:rPr>
        <w:t>。</w:t>
      </w:r>
      <w:proofErr w:type="gramStart"/>
      <w:r w:rsidR="0083008F" w:rsidRPr="00F27425">
        <w:rPr>
          <w:rFonts w:ascii="標楷體" w:eastAsia="標楷體" w:hAnsi="標楷體" w:hint="eastAsia"/>
          <w:szCs w:val="24"/>
        </w:rPr>
        <w:t>爰</w:t>
      </w:r>
      <w:proofErr w:type="gramEnd"/>
      <w:r w:rsidR="0083008F" w:rsidRPr="00F27425">
        <w:rPr>
          <w:rFonts w:ascii="標楷體" w:eastAsia="標楷體" w:hAnsi="標楷體" w:hint="eastAsia"/>
          <w:szCs w:val="24"/>
        </w:rPr>
        <w:t>此，</w:t>
      </w:r>
      <w:r w:rsidR="00364828" w:rsidRPr="00F27425">
        <w:rPr>
          <w:rFonts w:ascii="標楷體" w:eastAsia="標楷體" w:hAnsi="標楷體" w:hint="eastAsia"/>
          <w:szCs w:val="24"/>
        </w:rPr>
        <w:t>在民間司法改革呼籲修法下，立法者</w:t>
      </w:r>
      <w:r w:rsidR="0083008F" w:rsidRPr="00F27425">
        <w:rPr>
          <w:rFonts w:ascii="標楷體" w:eastAsia="標楷體" w:hAnsi="標楷體" w:hint="eastAsia"/>
          <w:szCs w:val="24"/>
        </w:rPr>
        <w:t>於民國104年對於上述問題加以修正(</w:t>
      </w:r>
      <w:proofErr w:type="gramStart"/>
      <w:r w:rsidR="0083008F" w:rsidRPr="00F27425">
        <w:rPr>
          <w:rFonts w:ascii="標楷體" w:eastAsia="標楷體" w:hAnsi="標楷體" w:hint="eastAsia"/>
          <w:szCs w:val="24"/>
        </w:rPr>
        <w:t>詳於後述</w:t>
      </w:r>
      <w:proofErr w:type="gramEnd"/>
      <w:r w:rsidR="0083008F" w:rsidRPr="00F27425">
        <w:rPr>
          <w:rFonts w:ascii="標楷體" w:eastAsia="標楷體" w:hAnsi="標楷體" w:hint="eastAsia"/>
          <w:szCs w:val="24"/>
        </w:rPr>
        <w:t>)。</w:t>
      </w:r>
    </w:p>
    <w:p w14:paraId="678E7C17" w14:textId="77777777" w:rsidR="005F22B7" w:rsidRPr="00F27425" w:rsidRDefault="005F22B7" w:rsidP="007A4DCC">
      <w:pPr>
        <w:jc w:val="both"/>
        <w:rPr>
          <w:rFonts w:ascii="標楷體" w:eastAsia="標楷體" w:hAnsi="標楷體"/>
          <w:szCs w:val="24"/>
        </w:rPr>
      </w:pPr>
    </w:p>
    <w:p w14:paraId="603B6096" w14:textId="77777777" w:rsidR="005F22B7" w:rsidRPr="00F27425" w:rsidRDefault="005F22B7" w:rsidP="00EC1189">
      <w:pPr>
        <w:ind w:leftChars="100" w:left="240"/>
        <w:jc w:val="both"/>
        <w:rPr>
          <w:rFonts w:ascii="標楷體" w:eastAsia="標楷體" w:hAnsi="標楷體"/>
          <w:szCs w:val="24"/>
        </w:rPr>
      </w:pPr>
      <w:r w:rsidRPr="00F27425">
        <w:rPr>
          <w:rFonts w:ascii="標楷體" w:eastAsia="標楷體" w:hAnsi="標楷體"/>
          <w:noProof/>
          <w:szCs w:val="24"/>
        </w:rPr>
        <w:drawing>
          <wp:anchor distT="0" distB="0" distL="114300" distR="114300" simplePos="0" relativeHeight="251658240" behindDoc="1" locked="0" layoutInCell="1" allowOverlap="1" wp14:anchorId="0ACA01B4" wp14:editId="02B0158F">
            <wp:simplePos x="0" y="0"/>
            <wp:positionH relativeFrom="margin">
              <wp:align>right</wp:align>
            </wp:positionH>
            <wp:positionV relativeFrom="paragraph">
              <wp:posOffset>437515</wp:posOffset>
            </wp:positionV>
            <wp:extent cx="5138420" cy="2619375"/>
            <wp:effectExtent l="0" t="0" r="5080" b="9525"/>
            <wp:wrapTight wrapText="bothSides">
              <wp:wrapPolygon edited="0">
                <wp:start x="0" y="0"/>
                <wp:lineTo x="0" y="21521"/>
                <wp:lineTo x="21541" y="21521"/>
                <wp:lineTo x="21541"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a:extLst>
                        <a:ext uri="{28A0092B-C50C-407E-A947-70E740481C1C}">
                          <a14:useLocalDpi xmlns:a14="http://schemas.microsoft.com/office/drawing/2010/main" val="0"/>
                        </a:ext>
                      </a:extLst>
                    </a:blip>
                    <a:srcRect l="27008" t="34549" r="28320" b="31975"/>
                    <a:stretch>
                      <a:fillRect/>
                    </a:stretch>
                  </pic:blipFill>
                  <pic:spPr bwMode="auto">
                    <a:xfrm>
                      <a:off x="0" y="0"/>
                      <a:ext cx="513842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7425">
        <w:rPr>
          <w:rStyle w:val="a6"/>
          <w:rFonts w:ascii="標楷體" w:eastAsia="標楷體" w:hAnsi="標楷體"/>
          <w:szCs w:val="24"/>
        </w:rPr>
        <w:footnoteReference w:id="3"/>
      </w:r>
      <w:r w:rsidR="00D10A91" w:rsidRPr="00F27425">
        <w:rPr>
          <w:rFonts w:ascii="標楷體" w:eastAsia="標楷體" w:hAnsi="標楷體" w:hint="eastAsia"/>
          <w:szCs w:val="24"/>
        </w:rPr>
        <w:t>表</w:t>
      </w:r>
      <w:r w:rsidRPr="00F27425">
        <w:rPr>
          <w:rFonts w:ascii="標楷體" w:eastAsia="標楷體" w:hAnsi="標楷體" w:hint="eastAsia"/>
          <w:szCs w:val="24"/>
        </w:rPr>
        <w:t>1</w:t>
      </w:r>
      <w:r w:rsidR="00D10A91" w:rsidRPr="00F27425">
        <w:rPr>
          <w:rFonts w:ascii="標楷體" w:eastAsia="標楷體" w:hAnsi="標楷體" w:hint="eastAsia"/>
          <w:szCs w:val="24"/>
        </w:rPr>
        <w:t>-2</w:t>
      </w:r>
      <w:r w:rsidRPr="00F27425">
        <w:rPr>
          <w:rFonts w:ascii="標楷體" w:eastAsia="標楷體" w:hAnsi="標楷體"/>
          <w:szCs w:val="24"/>
        </w:rPr>
        <w:t xml:space="preserve">  地方法院督促程序辦理情形及民事訴訟事件</w:t>
      </w:r>
      <w:proofErr w:type="gramStart"/>
      <w:r w:rsidRPr="00F27425">
        <w:rPr>
          <w:rFonts w:ascii="標楷體" w:eastAsia="標楷體" w:hAnsi="標楷體"/>
          <w:szCs w:val="24"/>
        </w:rPr>
        <w:t>新收表</w:t>
      </w:r>
      <w:proofErr w:type="gramEnd"/>
      <w:r w:rsidRPr="00F27425">
        <w:rPr>
          <w:rFonts w:ascii="標楷體" w:eastAsia="標楷體" w:hAnsi="標楷體"/>
          <w:szCs w:val="24"/>
        </w:rPr>
        <w:t xml:space="preserve">(97 年至 103 年) </w:t>
      </w:r>
    </w:p>
    <w:p w14:paraId="3AA609E3" w14:textId="77777777" w:rsidR="00AA4E66" w:rsidRPr="00F27425" w:rsidRDefault="00AA4E66" w:rsidP="007A4DCC">
      <w:pPr>
        <w:jc w:val="both"/>
        <w:rPr>
          <w:rFonts w:ascii="標楷體" w:eastAsia="標楷體" w:hAnsi="標楷體"/>
          <w:szCs w:val="24"/>
        </w:rPr>
      </w:pPr>
    </w:p>
    <w:p w14:paraId="0ED61B4A" w14:textId="77777777" w:rsidR="00AA4E66" w:rsidRPr="00F27425" w:rsidRDefault="00AA4E66" w:rsidP="007A4DCC">
      <w:pPr>
        <w:pStyle w:val="a3"/>
        <w:numPr>
          <w:ilvl w:val="0"/>
          <w:numId w:val="6"/>
        </w:numPr>
        <w:ind w:leftChars="0"/>
        <w:jc w:val="both"/>
        <w:rPr>
          <w:rFonts w:ascii="標楷體" w:eastAsia="標楷體" w:hAnsi="標楷體"/>
          <w:szCs w:val="24"/>
        </w:rPr>
      </w:pPr>
      <w:r w:rsidRPr="00F27425">
        <w:rPr>
          <w:rFonts w:ascii="標楷體" w:eastAsia="標楷體" w:hAnsi="標楷體" w:hint="eastAsia"/>
          <w:szCs w:val="24"/>
        </w:rPr>
        <w:t>小結</w:t>
      </w:r>
    </w:p>
    <w:p w14:paraId="46E1A6D8" w14:textId="18F86D5F" w:rsidR="00241C0D" w:rsidRPr="00F27425" w:rsidRDefault="000F2FC0" w:rsidP="00D42A60">
      <w:pPr>
        <w:pStyle w:val="a3"/>
        <w:ind w:leftChars="0" w:firstLineChars="200" w:firstLine="480"/>
        <w:jc w:val="both"/>
        <w:rPr>
          <w:rFonts w:ascii="標楷體" w:eastAsia="標楷體" w:hAnsi="標楷體"/>
          <w:szCs w:val="24"/>
        </w:rPr>
      </w:pPr>
      <w:r>
        <w:rPr>
          <w:rFonts w:ascii="標楷體" w:eastAsia="標楷體" w:hAnsi="標楷體" w:hint="eastAsia"/>
          <w:szCs w:val="24"/>
        </w:rPr>
        <w:t>目前</w:t>
      </w:r>
      <w:r w:rsidR="00B7773D" w:rsidRPr="00F27425">
        <w:rPr>
          <w:rFonts w:ascii="標楷體" w:eastAsia="標楷體" w:hAnsi="標楷體" w:hint="eastAsia"/>
          <w:szCs w:val="24"/>
        </w:rPr>
        <w:t>實務上對於督促程序之運用，雖充斥著上揭說明之各項弊害，惟仍不可否認其對於促進債權人以較便宜、簡便之非</w:t>
      </w:r>
      <w:proofErr w:type="gramStart"/>
      <w:r w:rsidR="00B7773D" w:rsidRPr="00F27425">
        <w:rPr>
          <w:rFonts w:ascii="標楷體" w:eastAsia="標楷體" w:hAnsi="標楷體" w:hint="eastAsia"/>
          <w:szCs w:val="24"/>
        </w:rPr>
        <w:t>訟</w:t>
      </w:r>
      <w:proofErr w:type="gramEnd"/>
      <w:r w:rsidR="00B7773D" w:rsidRPr="00F27425">
        <w:rPr>
          <w:rFonts w:ascii="標楷體" w:eastAsia="標楷體" w:hAnsi="標楷體" w:hint="eastAsia"/>
          <w:szCs w:val="24"/>
        </w:rPr>
        <w:t>程序實現債權之效及減輕</w:t>
      </w:r>
      <w:r w:rsidR="00B7773D" w:rsidRPr="00F27425">
        <w:rPr>
          <w:rFonts w:ascii="標楷體" w:eastAsia="標楷體" w:hAnsi="標楷體" w:hint="eastAsia"/>
          <w:szCs w:val="24"/>
        </w:rPr>
        <w:lastRenderedPageBreak/>
        <w:t>法院負擔之用。</w:t>
      </w:r>
      <w:r w:rsidR="00C44790">
        <w:rPr>
          <w:rFonts w:ascii="標楷體" w:eastAsia="標楷體" w:hAnsi="標楷體" w:hint="eastAsia"/>
          <w:szCs w:val="24"/>
        </w:rPr>
        <w:t>於此本文</w:t>
      </w:r>
      <w:r w:rsidR="00241C0D" w:rsidRPr="00F27425">
        <w:rPr>
          <w:rFonts w:ascii="標楷體" w:eastAsia="標楷體" w:hAnsi="標楷體" w:hint="eastAsia"/>
          <w:szCs w:val="24"/>
        </w:rPr>
        <w:t>將以民國104年修</w:t>
      </w:r>
      <w:proofErr w:type="gramStart"/>
      <w:r w:rsidR="00241C0D" w:rsidRPr="00F27425">
        <w:rPr>
          <w:rFonts w:ascii="標楷體" w:eastAsia="標楷體" w:hAnsi="標楷體" w:hint="eastAsia"/>
          <w:szCs w:val="24"/>
        </w:rPr>
        <w:t>法所異動</w:t>
      </w:r>
      <w:proofErr w:type="gramEnd"/>
      <w:r w:rsidR="00241C0D" w:rsidRPr="00F27425">
        <w:rPr>
          <w:rFonts w:ascii="標楷體" w:eastAsia="標楷體" w:hAnsi="標楷體" w:hint="eastAsia"/>
          <w:szCs w:val="24"/>
        </w:rPr>
        <w:t>之民事訴訟法各該條文(</w:t>
      </w:r>
      <w:r w:rsidR="00241C0D" w:rsidRPr="00F27425">
        <w:rPr>
          <w:rFonts w:ascii="標楷體" w:eastAsia="標楷體" w:hAnsi="標楷體"/>
          <w:szCs w:val="24"/>
        </w:rPr>
        <w:t>§5</w:t>
      </w:r>
      <w:r w:rsidR="00241C0D" w:rsidRPr="00F27425">
        <w:rPr>
          <w:rFonts w:ascii="標楷體" w:eastAsia="標楷體" w:hAnsi="標楷體" w:hint="eastAsia"/>
          <w:szCs w:val="24"/>
        </w:rPr>
        <w:t>11、</w:t>
      </w:r>
      <w:r w:rsidR="00241C0D" w:rsidRPr="00F27425">
        <w:rPr>
          <w:rFonts w:ascii="標楷體" w:eastAsia="標楷體" w:hAnsi="標楷體"/>
          <w:szCs w:val="24"/>
        </w:rPr>
        <w:t>§5</w:t>
      </w:r>
      <w:r w:rsidR="00241C0D" w:rsidRPr="00F27425">
        <w:rPr>
          <w:rFonts w:ascii="標楷體" w:eastAsia="標楷體" w:hAnsi="標楷體" w:hint="eastAsia"/>
          <w:szCs w:val="24"/>
        </w:rPr>
        <w:t>14、</w:t>
      </w:r>
      <w:r w:rsidR="00241C0D" w:rsidRPr="00F27425">
        <w:rPr>
          <w:rFonts w:ascii="標楷體" w:eastAsia="標楷體" w:hAnsi="標楷體"/>
          <w:szCs w:val="24"/>
        </w:rPr>
        <w:t>§5</w:t>
      </w:r>
      <w:r w:rsidR="00241C0D" w:rsidRPr="00F27425">
        <w:rPr>
          <w:rFonts w:ascii="標楷體" w:eastAsia="標楷體" w:hAnsi="標楷體" w:hint="eastAsia"/>
          <w:szCs w:val="24"/>
        </w:rPr>
        <w:t>21)</w:t>
      </w:r>
      <w:r w:rsidR="004927BF" w:rsidRPr="00F27425">
        <w:rPr>
          <w:rFonts w:ascii="標楷體" w:eastAsia="標楷體" w:hAnsi="標楷體" w:hint="eastAsia"/>
          <w:szCs w:val="24"/>
        </w:rPr>
        <w:t>及民事訴訟施行法(</w:t>
      </w:r>
      <w:r w:rsidR="004927BF" w:rsidRPr="00F27425">
        <w:rPr>
          <w:rFonts w:ascii="標楷體" w:eastAsia="標楷體" w:hAnsi="標楷體"/>
          <w:szCs w:val="24"/>
        </w:rPr>
        <w:t>§</w:t>
      </w:r>
      <w:r w:rsidR="004927BF" w:rsidRPr="00F27425">
        <w:rPr>
          <w:rFonts w:ascii="標楷體" w:eastAsia="標楷體" w:hAnsi="標楷體" w:hint="eastAsia"/>
          <w:szCs w:val="24"/>
        </w:rPr>
        <w:t>4-4)</w:t>
      </w:r>
      <w:r w:rsidR="00241C0D" w:rsidRPr="00F27425">
        <w:rPr>
          <w:rFonts w:ascii="標楷體" w:eastAsia="標楷體" w:hAnsi="標楷體" w:hint="eastAsia"/>
          <w:szCs w:val="24"/>
        </w:rPr>
        <w:t>為出發點，分</w:t>
      </w:r>
      <w:r w:rsidR="00C26D3F" w:rsidRPr="00F27425">
        <w:rPr>
          <w:rFonts w:ascii="標楷體" w:eastAsia="標楷體" w:hAnsi="標楷體" w:hint="eastAsia"/>
          <w:szCs w:val="24"/>
        </w:rPr>
        <w:t>成</w:t>
      </w:r>
      <w:r w:rsidR="004927BF" w:rsidRPr="00F27425">
        <w:rPr>
          <w:rFonts w:ascii="標楷體" w:eastAsia="標楷體" w:hAnsi="標楷體" w:hint="eastAsia"/>
          <w:szCs w:val="24"/>
        </w:rPr>
        <w:t>較具爭議之</w:t>
      </w:r>
      <w:r w:rsidR="00C26D3F" w:rsidRPr="00F27425">
        <w:rPr>
          <w:rFonts w:ascii="標楷體" w:eastAsia="標楷體" w:hAnsi="標楷體" w:hint="eastAsia"/>
          <w:szCs w:val="24"/>
        </w:rPr>
        <w:t>二</w:t>
      </w:r>
      <w:r w:rsidR="00241C0D" w:rsidRPr="00F27425">
        <w:rPr>
          <w:rFonts w:ascii="標楷體" w:eastAsia="標楷體" w:hAnsi="標楷體" w:hint="eastAsia"/>
          <w:szCs w:val="24"/>
        </w:rPr>
        <w:t>階段(1)支付命令</w:t>
      </w:r>
      <w:r w:rsidR="00241C0D" w:rsidRPr="00F27425">
        <w:rPr>
          <w:rFonts w:ascii="標楷體" w:eastAsia="標楷體" w:hAnsi="標楷體"/>
          <w:szCs w:val="24"/>
        </w:rPr>
        <w:t>聲請</w:t>
      </w:r>
      <w:r w:rsidR="00241C0D" w:rsidRPr="00F27425">
        <w:rPr>
          <w:rFonts w:ascii="標楷體" w:eastAsia="標楷體" w:hAnsi="標楷體" w:hint="eastAsia"/>
          <w:szCs w:val="24"/>
        </w:rPr>
        <w:t>(</w:t>
      </w:r>
      <w:r w:rsidR="00241C0D" w:rsidRPr="00F27425">
        <w:rPr>
          <w:rFonts w:ascii="標楷體" w:eastAsia="標楷體" w:hAnsi="標楷體"/>
          <w:szCs w:val="24"/>
        </w:rPr>
        <w:t>2)</w:t>
      </w:r>
      <w:r w:rsidR="004927BF" w:rsidRPr="00F27425">
        <w:rPr>
          <w:rFonts w:ascii="標楷體" w:eastAsia="標楷體" w:hAnsi="標楷體" w:hint="eastAsia"/>
          <w:szCs w:val="24"/>
        </w:rPr>
        <w:t>確定之支付命令救濟</w:t>
      </w:r>
      <w:r w:rsidR="00241C0D" w:rsidRPr="00F27425">
        <w:rPr>
          <w:rFonts w:ascii="標楷體" w:eastAsia="標楷體" w:hAnsi="標楷體" w:hint="eastAsia"/>
          <w:szCs w:val="24"/>
        </w:rPr>
        <w:t>，探討修法前後對於上開</w:t>
      </w:r>
      <w:r w:rsidR="00C26D3F" w:rsidRPr="00F27425">
        <w:rPr>
          <w:rFonts w:ascii="標楷體" w:eastAsia="標楷體" w:hAnsi="標楷體" w:hint="eastAsia"/>
          <w:szCs w:val="24"/>
        </w:rPr>
        <w:t>二</w:t>
      </w:r>
      <w:r w:rsidR="009A3C01">
        <w:rPr>
          <w:rFonts w:ascii="標楷體" w:eastAsia="標楷體" w:hAnsi="標楷體" w:hint="eastAsia"/>
          <w:szCs w:val="24"/>
        </w:rPr>
        <w:t>階段之認定與實務上運用之差異</w:t>
      </w:r>
      <w:r w:rsidR="00241C0D" w:rsidRPr="00F27425">
        <w:rPr>
          <w:rFonts w:ascii="標楷體" w:eastAsia="標楷體" w:hAnsi="標楷體" w:hint="eastAsia"/>
          <w:szCs w:val="24"/>
        </w:rPr>
        <w:t>，及修法後學者對於修法之評斷</w:t>
      </w:r>
      <w:r w:rsidR="000712F5" w:rsidRPr="00F27425">
        <w:rPr>
          <w:rFonts w:ascii="標楷體" w:eastAsia="標楷體" w:hAnsi="標楷體" w:hint="eastAsia"/>
          <w:szCs w:val="24"/>
        </w:rPr>
        <w:t>。</w:t>
      </w:r>
    </w:p>
    <w:p w14:paraId="59CA98D0" w14:textId="77777777" w:rsidR="000712F5" w:rsidRPr="00F27425" w:rsidRDefault="000712F5" w:rsidP="007A4DCC">
      <w:pPr>
        <w:widowControl/>
        <w:jc w:val="both"/>
        <w:rPr>
          <w:rFonts w:ascii="標楷體" w:eastAsia="標楷體" w:hAnsi="標楷體"/>
          <w:szCs w:val="24"/>
        </w:rPr>
        <w:sectPr w:rsidR="000712F5" w:rsidRPr="00F27425" w:rsidSect="00DA7214">
          <w:footerReference w:type="default" r:id="rId10"/>
          <w:type w:val="continuous"/>
          <w:pgSz w:w="11906" w:h="16838"/>
          <w:pgMar w:top="1440" w:right="1800" w:bottom="1440" w:left="1800" w:header="851" w:footer="992" w:gutter="0"/>
          <w:cols w:space="720"/>
          <w:docGrid w:type="lines" w:linePitch="360"/>
        </w:sectPr>
      </w:pPr>
    </w:p>
    <w:p w14:paraId="4C55566D" w14:textId="77777777" w:rsidR="00D01DBB" w:rsidRPr="00D26E5B" w:rsidRDefault="000712F5" w:rsidP="00D26E5B">
      <w:pPr>
        <w:pStyle w:val="a3"/>
        <w:widowControl/>
        <w:numPr>
          <w:ilvl w:val="0"/>
          <w:numId w:val="46"/>
        </w:numPr>
        <w:ind w:leftChars="0"/>
        <w:jc w:val="both"/>
        <w:rPr>
          <w:rFonts w:ascii="標楷體" w:eastAsia="標楷體" w:hAnsi="標楷體"/>
          <w:szCs w:val="24"/>
        </w:rPr>
      </w:pPr>
      <w:r w:rsidRPr="00D26E5B">
        <w:rPr>
          <w:rFonts w:ascii="標楷體" w:eastAsia="標楷體" w:hAnsi="標楷體"/>
          <w:szCs w:val="24"/>
        </w:rPr>
        <w:lastRenderedPageBreak/>
        <w:br w:type="column"/>
      </w:r>
      <w:r w:rsidR="00D01DBB" w:rsidRPr="00D26E5B">
        <w:rPr>
          <w:rFonts w:ascii="標楷體" w:eastAsia="標楷體" w:hAnsi="標楷體"/>
          <w:szCs w:val="24"/>
        </w:rPr>
        <w:lastRenderedPageBreak/>
        <w:t>督促程序之聲請要件與程式</w:t>
      </w:r>
    </w:p>
    <w:p w14:paraId="00E17EE6" w14:textId="77777777" w:rsidR="00342382" w:rsidRPr="00F27425" w:rsidRDefault="00342382" w:rsidP="007A4DCC">
      <w:pPr>
        <w:jc w:val="both"/>
        <w:rPr>
          <w:rFonts w:ascii="標楷體" w:eastAsia="標楷體" w:hAnsi="標楷體"/>
          <w:szCs w:val="24"/>
        </w:rPr>
      </w:pPr>
    </w:p>
    <w:p w14:paraId="65CDF539" w14:textId="77777777" w:rsidR="00147D13" w:rsidRPr="00F27425" w:rsidRDefault="00D10A91" w:rsidP="007A4DCC">
      <w:pPr>
        <w:pStyle w:val="a3"/>
        <w:numPr>
          <w:ilvl w:val="0"/>
          <w:numId w:val="12"/>
        </w:numPr>
        <w:ind w:leftChars="0"/>
        <w:jc w:val="both"/>
        <w:rPr>
          <w:rFonts w:ascii="標楷體" w:eastAsia="標楷體" w:hAnsi="標楷體"/>
          <w:szCs w:val="24"/>
        </w:rPr>
      </w:pPr>
      <w:r w:rsidRPr="00F27425">
        <w:rPr>
          <w:rFonts w:ascii="標楷體" w:eastAsia="標楷體" w:hAnsi="標楷體" w:hint="eastAsia"/>
          <w:szCs w:val="24"/>
        </w:rPr>
        <w:t>督促程序</w:t>
      </w:r>
      <w:r w:rsidR="00D01DBB" w:rsidRPr="00F27425">
        <w:rPr>
          <w:rFonts w:ascii="標楷體" w:eastAsia="標楷體" w:hAnsi="標楷體" w:hint="eastAsia"/>
          <w:szCs w:val="24"/>
        </w:rPr>
        <w:t>之</w:t>
      </w:r>
      <w:r w:rsidR="00147D13" w:rsidRPr="00F27425">
        <w:rPr>
          <w:rFonts w:ascii="標楷體" w:eastAsia="標楷體" w:hAnsi="標楷體" w:hint="eastAsia"/>
          <w:szCs w:val="24"/>
        </w:rPr>
        <w:t>要件</w:t>
      </w:r>
    </w:p>
    <w:p w14:paraId="29458A57" w14:textId="77777777" w:rsidR="00D10A91" w:rsidRPr="00F27425" w:rsidRDefault="00D10A91" w:rsidP="007A4DCC">
      <w:pPr>
        <w:pStyle w:val="a3"/>
        <w:ind w:leftChars="0"/>
        <w:jc w:val="both"/>
        <w:rPr>
          <w:rFonts w:ascii="標楷體" w:eastAsia="標楷體" w:hAnsi="標楷體"/>
          <w:szCs w:val="24"/>
        </w:rPr>
      </w:pPr>
    </w:p>
    <w:p w14:paraId="5F960078" w14:textId="40A4764A" w:rsidR="00220448" w:rsidRDefault="00D10A91" w:rsidP="007A4DCC">
      <w:pPr>
        <w:pStyle w:val="a3"/>
        <w:numPr>
          <w:ilvl w:val="0"/>
          <w:numId w:val="35"/>
        </w:numPr>
        <w:ind w:leftChars="0"/>
        <w:jc w:val="both"/>
        <w:rPr>
          <w:rFonts w:ascii="標楷體" w:eastAsia="標楷體" w:hAnsi="標楷體"/>
          <w:szCs w:val="24"/>
        </w:rPr>
      </w:pPr>
      <w:r w:rsidRPr="00220448">
        <w:rPr>
          <w:rFonts w:ascii="標楷體" w:eastAsia="標楷體" w:hAnsi="標楷體" w:hint="eastAsia"/>
          <w:szCs w:val="24"/>
        </w:rPr>
        <w:t>標</w:t>
      </w:r>
      <w:proofErr w:type="gramStart"/>
      <w:r w:rsidRPr="00220448">
        <w:rPr>
          <w:rFonts w:ascii="標楷體" w:eastAsia="標楷體" w:hAnsi="標楷體" w:hint="eastAsia"/>
          <w:szCs w:val="24"/>
        </w:rPr>
        <w:t>的須係以</w:t>
      </w:r>
      <w:proofErr w:type="gramEnd"/>
      <w:r w:rsidRPr="00220448">
        <w:rPr>
          <w:rFonts w:ascii="標楷體" w:eastAsia="標楷體" w:hAnsi="標楷體" w:hint="eastAsia"/>
          <w:szCs w:val="24"/>
        </w:rPr>
        <w:t>金錢或其他代替物或有價證證券一定數量請求</w:t>
      </w:r>
      <w:r w:rsidRPr="00220448">
        <w:rPr>
          <w:rFonts w:ascii="標楷體" w:eastAsia="標楷體" w:hAnsi="標楷體"/>
          <w:szCs w:val="24"/>
        </w:rPr>
        <w:t>（§508</w:t>
      </w:r>
      <w:r w:rsidRPr="00220448">
        <w:rPr>
          <w:rFonts w:ascii="標楷體" w:eastAsia="標楷體" w:hAnsi="標楷體" w:cs="微軟正黑體" w:hint="eastAsia"/>
          <w:szCs w:val="24"/>
        </w:rPr>
        <w:t>Ⅰ</w:t>
      </w:r>
      <w:r w:rsidRPr="00220448">
        <w:rPr>
          <w:rFonts w:ascii="標楷體" w:eastAsia="標楷體" w:hAnsi="標楷體"/>
          <w:szCs w:val="24"/>
        </w:rPr>
        <w:t>）。</w:t>
      </w:r>
    </w:p>
    <w:p w14:paraId="6BD8E97E" w14:textId="5898F7FE" w:rsidR="00D10A91" w:rsidRPr="006F709B" w:rsidRDefault="00D10A91" w:rsidP="00D42A60">
      <w:pPr>
        <w:ind w:leftChars="200" w:left="480" w:firstLineChars="200" w:firstLine="480"/>
        <w:jc w:val="both"/>
        <w:rPr>
          <w:rFonts w:ascii="標楷體" w:eastAsia="標楷體" w:hAnsi="標楷體"/>
          <w:szCs w:val="24"/>
        </w:rPr>
      </w:pPr>
      <w:r w:rsidRPr="00220448">
        <w:rPr>
          <w:rFonts w:ascii="標楷體" w:eastAsia="標楷體" w:hAnsi="標楷體" w:hint="eastAsia"/>
          <w:szCs w:val="24"/>
        </w:rPr>
        <w:t>債權人聲請法院發支付命令，僅侷限於給付請求始得為之，若為確認性質之事項或亦是形成權之行使，則不得以此程序為之。</w:t>
      </w:r>
      <w:r w:rsidR="00134E90" w:rsidRPr="00220448">
        <w:rPr>
          <w:rFonts w:ascii="標楷體" w:eastAsia="標楷體" w:hAnsi="標楷體" w:hint="eastAsia"/>
          <w:szCs w:val="24"/>
        </w:rPr>
        <w:t>因而支付命令之請求事項之表明實與給付之訴之訴之聲明無異同，僅非以原告或被告作為訴訟主體之稱謂已矣。且有關於請</w:t>
      </w:r>
      <w:r w:rsidR="006F709B">
        <w:rPr>
          <w:rFonts w:ascii="標楷體" w:eastAsia="標楷體" w:hAnsi="標楷體" w:hint="eastAsia"/>
          <w:szCs w:val="24"/>
        </w:rPr>
        <w:t>求之標的也僅侷限於金錢或其他代替物或有價證證券一定數量請求始可</w:t>
      </w:r>
      <w:r w:rsidR="00134E90" w:rsidRPr="00F27425">
        <w:rPr>
          <w:rStyle w:val="a6"/>
          <w:rFonts w:ascii="標楷體" w:eastAsia="標楷體" w:hAnsi="標楷體"/>
          <w:szCs w:val="24"/>
        </w:rPr>
        <w:footnoteReference w:id="4"/>
      </w:r>
      <w:r w:rsidR="006F709B">
        <w:rPr>
          <w:rFonts w:ascii="標楷體" w:eastAsia="標楷體" w:hAnsi="標楷體" w:hint="eastAsia"/>
          <w:szCs w:val="24"/>
        </w:rPr>
        <w:t>。</w:t>
      </w:r>
    </w:p>
    <w:p w14:paraId="7B828852" w14:textId="77777777" w:rsidR="00134E90" w:rsidRPr="00F27425" w:rsidRDefault="00134E90" w:rsidP="007A4DCC">
      <w:pPr>
        <w:jc w:val="both"/>
        <w:rPr>
          <w:rFonts w:ascii="標楷體" w:eastAsia="標楷體" w:hAnsi="標楷體"/>
          <w:szCs w:val="24"/>
        </w:rPr>
      </w:pPr>
    </w:p>
    <w:p w14:paraId="59B4B43D" w14:textId="44E0B649" w:rsidR="002B617E" w:rsidRPr="00F27425" w:rsidRDefault="005A372A" w:rsidP="007A4DCC">
      <w:pPr>
        <w:pStyle w:val="a3"/>
        <w:numPr>
          <w:ilvl w:val="0"/>
          <w:numId w:val="35"/>
        </w:numPr>
        <w:ind w:leftChars="0"/>
        <w:jc w:val="both"/>
        <w:rPr>
          <w:rFonts w:ascii="標楷體" w:eastAsia="標楷體" w:hAnsi="標楷體"/>
          <w:szCs w:val="24"/>
        </w:rPr>
      </w:pPr>
      <w:r w:rsidRPr="00F27425">
        <w:rPr>
          <w:rFonts w:ascii="標楷體" w:eastAsia="標楷體" w:hAnsi="標楷體" w:hint="eastAsia"/>
          <w:szCs w:val="24"/>
        </w:rPr>
        <w:t>債權就該請求，無對待給付尚未履行</w:t>
      </w:r>
      <w:r w:rsidRPr="00F27425">
        <w:rPr>
          <w:rFonts w:ascii="標楷體" w:eastAsia="標楷體" w:hAnsi="標楷體"/>
          <w:szCs w:val="24"/>
        </w:rPr>
        <w:t>（§509</w:t>
      </w:r>
      <w:r w:rsidRPr="00F27425">
        <w:rPr>
          <w:rFonts w:ascii="標楷體" w:eastAsia="標楷體" w:hAnsi="標楷體" w:hint="eastAsia"/>
          <w:szCs w:val="24"/>
        </w:rPr>
        <w:t>前段</w:t>
      </w:r>
      <w:r w:rsidRPr="00F27425">
        <w:rPr>
          <w:rFonts w:ascii="標楷體" w:eastAsia="標楷體" w:hAnsi="標楷體"/>
          <w:szCs w:val="24"/>
        </w:rPr>
        <w:t>）</w:t>
      </w:r>
      <w:r w:rsidRPr="00F27425">
        <w:rPr>
          <w:rFonts w:ascii="標楷體" w:eastAsia="標楷體" w:hAnsi="標楷體" w:hint="eastAsia"/>
          <w:szCs w:val="24"/>
        </w:rPr>
        <w:t>。</w:t>
      </w:r>
    </w:p>
    <w:p w14:paraId="04736B25" w14:textId="09467921" w:rsidR="002F1727" w:rsidRPr="00F27425" w:rsidRDefault="005A372A" w:rsidP="00D42A60">
      <w:pPr>
        <w:ind w:leftChars="200" w:left="480" w:firstLineChars="200" w:firstLine="480"/>
        <w:jc w:val="both"/>
        <w:rPr>
          <w:rFonts w:ascii="標楷體" w:eastAsia="標楷體" w:hAnsi="標楷體"/>
          <w:szCs w:val="24"/>
        </w:rPr>
      </w:pPr>
      <w:r w:rsidRPr="00F27425">
        <w:rPr>
          <w:rFonts w:ascii="標楷體" w:eastAsia="標楷體" w:hAnsi="標楷體" w:hint="eastAsia"/>
          <w:szCs w:val="24"/>
        </w:rPr>
        <w:t>債權人於聲請法院發支付命令之時，應清楚表明無對給付或對該對待給付已履行。照此一法理之推斷法院及有責特別注意可能有對待給付之情形，若有疑</w:t>
      </w:r>
      <w:r w:rsidR="0011617B">
        <w:rPr>
          <w:rFonts w:ascii="標楷體" w:eastAsia="標楷體" w:hAnsi="標楷體" w:hint="eastAsia"/>
          <w:szCs w:val="24"/>
        </w:rPr>
        <w:t>慮之</w:t>
      </w:r>
      <w:proofErr w:type="gramStart"/>
      <w:r w:rsidR="0011617B">
        <w:rPr>
          <w:rFonts w:ascii="標楷體" w:eastAsia="標楷體" w:hAnsi="標楷體" w:hint="eastAsia"/>
          <w:szCs w:val="24"/>
        </w:rPr>
        <w:t>處應命當事人</w:t>
      </w:r>
      <w:proofErr w:type="gramEnd"/>
      <w:r w:rsidR="0011617B">
        <w:rPr>
          <w:rFonts w:ascii="標楷體" w:eastAsia="標楷體" w:hAnsi="標楷體" w:hint="eastAsia"/>
          <w:szCs w:val="24"/>
        </w:rPr>
        <w:t>補正說明，且債權若附有期限或停止條件，而期限未至</w:t>
      </w:r>
      <w:r w:rsidRPr="00F27425">
        <w:rPr>
          <w:rFonts w:ascii="標楷體" w:eastAsia="標楷體" w:hAnsi="標楷體" w:hint="eastAsia"/>
          <w:szCs w:val="24"/>
        </w:rPr>
        <w:t>或條件未成就，亦未符合聲請支付命令之要件</w:t>
      </w:r>
      <w:r w:rsidR="002F1727" w:rsidRPr="00F27425">
        <w:rPr>
          <w:rStyle w:val="a6"/>
          <w:rFonts w:ascii="標楷體" w:eastAsia="標楷體" w:hAnsi="標楷體"/>
          <w:szCs w:val="24"/>
        </w:rPr>
        <w:footnoteReference w:id="5"/>
      </w:r>
      <w:r w:rsidR="006F709B">
        <w:rPr>
          <w:rFonts w:ascii="標楷體" w:eastAsia="標楷體" w:hAnsi="標楷體" w:hint="eastAsia"/>
          <w:szCs w:val="24"/>
        </w:rPr>
        <w:t>。</w:t>
      </w:r>
    </w:p>
    <w:p w14:paraId="5AE21BE5" w14:textId="77777777" w:rsidR="002B617E" w:rsidRPr="00F27425" w:rsidRDefault="002B617E" w:rsidP="007A4DCC">
      <w:pPr>
        <w:pStyle w:val="a3"/>
        <w:ind w:leftChars="0" w:left="960"/>
        <w:jc w:val="both"/>
        <w:rPr>
          <w:rFonts w:ascii="標楷體" w:eastAsia="標楷體" w:hAnsi="標楷體"/>
          <w:szCs w:val="24"/>
        </w:rPr>
      </w:pPr>
    </w:p>
    <w:p w14:paraId="14F6F4B7" w14:textId="7308D812" w:rsidR="00220448" w:rsidRDefault="002F1727" w:rsidP="007A4DCC">
      <w:pPr>
        <w:pStyle w:val="a3"/>
        <w:numPr>
          <w:ilvl w:val="0"/>
          <w:numId w:val="35"/>
        </w:numPr>
        <w:ind w:leftChars="0"/>
        <w:jc w:val="both"/>
        <w:rPr>
          <w:rFonts w:ascii="標楷體" w:eastAsia="標楷體" w:hAnsi="標楷體"/>
          <w:szCs w:val="24"/>
        </w:rPr>
      </w:pPr>
      <w:r w:rsidRPr="00220448">
        <w:rPr>
          <w:rFonts w:ascii="標楷體" w:eastAsia="標楷體" w:hAnsi="標楷體" w:hint="eastAsia"/>
          <w:szCs w:val="24"/>
        </w:rPr>
        <w:t>支付命令之送達，非應以外國為之，並</w:t>
      </w:r>
      <w:r w:rsidR="00220448">
        <w:rPr>
          <w:rFonts w:ascii="標楷體" w:eastAsia="標楷體" w:hAnsi="標楷體" w:hint="eastAsia"/>
          <w:szCs w:val="24"/>
        </w:rPr>
        <w:t>且非應依公示送達為之</w:t>
      </w:r>
      <w:r w:rsidRPr="00220448">
        <w:rPr>
          <w:rFonts w:ascii="標楷體" w:eastAsia="標楷體" w:hAnsi="標楷體"/>
          <w:szCs w:val="24"/>
        </w:rPr>
        <w:t>（§509</w:t>
      </w:r>
      <w:r w:rsidRPr="00220448">
        <w:rPr>
          <w:rFonts w:ascii="標楷體" w:eastAsia="標楷體" w:hAnsi="標楷體" w:hint="eastAsia"/>
          <w:szCs w:val="24"/>
        </w:rPr>
        <w:t>後段</w:t>
      </w:r>
      <w:r w:rsidRPr="00220448">
        <w:rPr>
          <w:rFonts w:ascii="標楷體" w:eastAsia="標楷體" w:hAnsi="標楷體"/>
          <w:szCs w:val="24"/>
        </w:rPr>
        <w:t>）</w:t>
      </w:r>
      <w:r w:rsidRPr="00220448">
        <w:rPr>
          <w:rFonts w:ascii="標楷體" w:eastAsia="標楷體" w:hAnsi="標楷體" w:hint="eastAsia"/>
          <w:szCs w:val="24"/>
        </w:rPr>
        <w:t>。</w:t>
      </w:r>
    </w:p>
    <w:p w14:paraId="695C5E56" w14:textId="1E497888" w:rsidR="002F1727" w:rsidRPr="006F709B" w:rsidRDefault="002F1727" w:rsidP="00D42A60">
      <w:pPr>
        <w:ind w:leftChars="200" w:left="480" w:firstLineChars="200" w:firstLine="480"/>
        <w:jc w:val="both"/>
        <w:rPr>
          <w:rFonts w:ascii="標楷體" w:eastAsia="標楷體" w:hAnsi="標楷體"/>
          <w:szCs w:val="24"/>
        </w:rPr>
      </w:pPr>
      <w:r w:rsidRPr="007A4DCC">
        <w:rPr>
          <w:rFonts w:ascii="標楷體" w:eastAsia="標楷體" w:hAnsi="標楷體" w:hint="eastAsia"/>
          <w:szCs w:val="24"/>
        </w:rPr>
        <w:t>督促程序中，若支付命令送達於外國為之，或依公示送達為之者，不得為之，參照民訴訟法509條後段之要旨。於此若有上揭條文之</w:t>
      </w:r>
      <w:r w:rsidR="00FF63D6">
        <w:rPr>
          <w:rFonts w:ascii="標楷體" w:eastAsia="標楷體" w:hAnsi="標楷體" w:hint="eastAsia"/>
          <w:szCs w:val="24"/>
        </w:rPr>
        <w:t>違反</w:t>
      </w:r>
      <w:r w:rsidRPr="007A4DCC">
        <w:rPr>
          <w:rFonts w:ascii="標楷體" w:eastAsia="標楷體" w:hAnsi="標楷體" w:hint="eastAsia"/>
          <w:szCs w:val="24"/>
        </w:rPr>
        <w:t>或事實上無法送</w:t>
      </w:r>
      <w:r w:rsidR="007A4DCC" w:rsidRPr="007A4DCC">
        <w:rPr>
          <w:rFonts w:ascii="標楷體" w:eastAsia="標楷體" w:hAnsi="標楷體" w:hint="eastAsia"/>
          <w:szCs w:val="24"/>
        </w:rPr>
        <w:t xml:space="preserve"> </w:t>
      </w:r>
      <w:r w:rsidR="00FF63D6">
        <w:rPr>
          <w:rFonts w:ascii="標楷體" w:eastAsia="標楷體" w:hAnsi="標楷體" w:hint="eastAsia"/>
          <w:szCs w:val="24"/>
        </w:rPr>
        <w:t>達者，支付命令程序及應即</w:t>
      </w:r>
      <w:r w:rsidR="006F709B">
        <w:rPr>
          <w:rFonts w:ascii="標楷體" w:eastAsia="標楷體" w:hAnsi="標楷體" w:hint="eastAsia"/>
          <w:szCs w:val="24"/>
        </w:rPr>
        <w:t>時終結，債權人僅的再開其他訴訟程序主張權利</w:t>
      </w:r>
      <w:r w:rsidRPr="00F27425">
        <w:rPr>
          <w:rStyle w:val="a6"/>
          <w:rFonts w:ascii="標楷體" w:eastAsia="標楷體" w:hAnsi="標楷體"/>
          <w:szCs w:val="24"/>
        </w:rPr>
        <w:footnoteReference w:id="6"/>
      </w:r>
      <w:r w:rsidR="006F709B">
        <w:rPr>
          <w:rFonts w:ascii="標楷體" w:eastAsia="標楷體" w:hAnsi="標楷體" w:hint="eastAsia"/>
          <w:szCs w:val="24"/>
        </w:rPr>
        <w:t>。</w:t>
      </w:r>
    </w:p>
    <w:p w14:paraId="179BF3B8" w14:textId="77F1EE0A" w:rsidR="002B617E" w:rsidRPr="00F27425" w:rsidRDefault="002F1727" w:rsidP="007A4DCC">
      <w:pPr>
        <w:pStyle w:val="a3"/>
        <w:numPr>
          <w:ilvl w:val="0"/>
          <w:numId w:val="35"/>
        </w:numPr>
        <w:ind w:leftChars="0"/>
        <w:jc w:val="both"/>
        <w:rPr>
          <w:rFonts w:ascii="標楷體" w:eastAsia="標楷體" w:hAnsi="標楷體"/>
          <w:szCs w:val="24"/>
        </w:rPr>
      </w:pPr>
      <w:r w:rsidRPr="00F27425">
        <w:rPr>
          <w:rFonts w:ascii="標楷體" w:eastAsia="標楷體" w:hAnsi="標楷體" w:hint="eastAsia"/>
          <w:szCs w:val="24"/>
        </w:rPr>
        <w:t>訴訟要件須具備</w:t>
      </w:r>
    </w:p>
    <w:p w14:paraId="54E19197" w14:textId="586356DA" w:rsidR="00342382" w:rsidRPr="00F27425" w:rsidRDefault="002B617E" w:rsidP="00D42A60">
      <w:pPr>
        <w:ind w:leftChars="200" w:left="480" w:firstLineChars="200" w:firstLine="480"/>
        <w:jc w:val="both"/>
        <w:rPr>
          <w:rFonts w:ascii="標楷體" w:eastAsia="標楷體" w:hAnsi="標楷體"/>
          <w:szCs w:val="24"/>
        </w:rPr>
      </w:pPr>
      <w:r w:rsidRPr="00F27425">
        <w:rPr>
          <w:rFonts w:ascii="標楷體" w:eastAsia="標楷體" w:hAnsi="標楷體" w:hint="eastAsia"/>
          <w:szCs w:val="24"/>
        </w:rPr>
        <w:t>支</w:t>
      </w:r>
      <w:r w:rsidR="002F1727" w:rsidRPr="00F27425">
        <w:rPr>
          <w:rFonts w:ascii="標楷體" w:eastAsia="標楷體" w:hAnsi="標楷體" w:hint="eastAsia"/>
          <w:szCs w:val="24"/>
        </w:rPr>
        <w:t>付命令雖為非</w:t>
      </w:r>
      <w:proofErr w:type="gramStart"/>
      <w:r w:rsidR="002F1727" w:rsidRPr="00F27425">
        <w:rPr>
          <w:rFonts w:ascii="標楷體" w:eastAsia="標楷體" w:hAnsi="標楷體" w:hint="eastAsia"/>
          <w:szCs w:val="24"/>
        </w:rPr>
        <w:t>訟</w:t>
      </w:r>
      <w:proofErr w:type="gramEnd"/>
      <w:r w:rsidR="002F1727" w:rsidRPr="00F27425">
        <w:rPr>
          <w:rFonts w:ascii="標楷體" w:eastAsia="標楷體" w:hAnsi="標楷體" w:hint="eastAsia"/>
          <w:szCs w:val="24"/>
        </w:rPr>
        <w:t>程序之一種，惟</w:t>
      </w:r>
      <w:r w:rsidR="00230B52" w:rsidRPr="00F27425">
        <w:rPr>
          <w:rFonts w:ascii="標楷體" w:eastAsia="標楷體" w:hAnsi="標楷體" w:hint="eastAsia"/>
          <w:szCs w:val="24"/>
        </w:rPr>
        <w:t>其程</w:t>
      </w:r>
      <w:r w:rsidR="002F1727" w:rsidRPr="00F27425">
        <w:rPr>
          <w:rFonts w:ascii="標楷體" w:eastAsia="標楷體" w:hAnsi="標楷體" w:hint="eastAsia"/>
          <w:szCs w:val="24"/>
        </w:rPr>
        <w:t>序之提起仍不得違反通常程序之訴訟要件</w:t>
      </w:r>
      <w:r w:rsidR="00230B52" w:rsidRPr="00F27425">
        <w:rPr>
          <w:rFonts w:ascii="標楷體" w:eastAsia="標楷體" w:hAnsi="標楷體" w:hint="eastAsia"/>
          <w:szCs w:val="24"/>
        </w:rPr>
        <w:t>(</w:t>
      </w:r>
      <w:r w:rsidR="00230B52" w:rsidRPr="00F27425">
        <w:rPr>
          <w:rFonts w:ascii="標楷體" w:eastAsia="標楷體" w:hAnsi="標楷體"/>
          <w:szCs w:val="24"/>
        </w:rPr>
        <w:t>§249</w:t>
      </w:r>
      <w:r w:rsidR="00230B52" w:rsidRPr="00F27425">
        <w:rPr>
          <w:rFonts w:ascii="標楷體" w:eastAsia="標楷體" w:hAnsi="標楷體" w:hint="eastAsia"/>
          <w:szCs w:val="24"/>
        </w:rPr>
        <w:t>)所列之各款及當事人適格之判定或亦是欠缺權利保護</w:t>
      </w:r>
      <w:r w:rsidR="006865C2" w:rsidRPr="00F27425">
        <w:rPr>
          <w:rFonts w:ascii="標楷體" w:eastAsia="標楷體" w:hAnsi="標楷體" w:hint="eastAsia"/>
          <w:szCs w:val="24"/>
        </w:rPr>
        <w:t>要件。若違反上述各事由而致訴訟要件</w:t>
      </w:r>
      <w:r w:rsidR="008936A8">
        <w:rPr>
          <w:rFonts w:ascii="標楷體" w:eastAsia="標楷體" w:hAnsi="標楷體" w:hint="eastAsia"/>
          <w:szCs w:val="24"/>
        </w:rPr>
        <w:t>不</w:t>
      </w:r>
      <w:r w:rsidR="006865C2" w:rsidRPr="00F27425">
        <w:rPr>
          <w:rFonts w:ascii="標楷體" w:eastAsia="標楷體" w:hAnsi="標楷體" w:hint="eastAsia"/>
          <w:szCs w:val="24"/>
        </w:rPr>
        <w:t>具備，法院亦應不許當事之聲請</w:t>
      </w:r>
      <w:r w:rsidR="005B4C78" w:rsidRPr="00F27425">
        <w:rPr>
          <w:rStyle w:val="a6"/>
          <w:rFonts w:ascii="標楷體" w:eastAsia="標楷體" w:hAnsi="標楷體"/>
          <w:szCs w:val="24"/>
        </w:rPr>
        <w:footnoteReference w:id="7"/>
      </w:r>
      <w:r w:rsidR="006865C2" w:rsidRPr="00F27425">
        <w:rPr>
          <w:rFonts w:ascii="標楷體" w:eastAsia="標楷體" w:hAnsi="標楷體" w:hint="eastAsia"/>
          <w:szCs w:val="24"/>
        </w:rPr>
        <w:t>。</w:t>
      </w:r>
    </w:p>
    <w:p w14:paraId="6C9B2D16" w14:textId="77777777" w:rsidR="00342382" w:rsidRPr="00F27425" w:rsidRDefault="00342382" w:rsidP="007A4DCC">
      <w:pPr>
        <w:pStyle w:val="a3"/>
        <w:ind w:leftChars="0" w:left="960"/>
        <w:jc w:val="both"/>
        <w:rPr>
          <w:rFonts w:ascii="標楷體" w:eastAsia="標楷體" w:hAnsi="標楷體"/>
          <w:szCs w:val="24"/>
        </w:rPr>
      </w:pPr>
    </w:p>
    <w:p w14:paraId="181DA007" w14:textId="3B54E6FC" w:rsidR="00342382" w:rsidRPr="00F27425" w:rsidRDefault="00342382" w:rsidP="007A4DCC">
      <w:pPr>
        <w:pStyle w:val="a3"/>
        <w:numPr>
          <w:ilvl w:val="0"/>
          <w:numId w:val="35"/>
        </w:numPr>
        <w:ind w:leftChars="0"/>
        <w:jc w:val="both"/>
        <w:rPr>
          <w:rFonts w:ascii="標楷體" w:eastAsia="標楷體" w:hAnsi="標楷體"/>
          <w:szCs w:val="24"/>
        </w:rPr>
      </w:pPr>
      <w:r w:rsidRPr="00F27425">
        <w:rPr>
          <w:rFonts w:ascii="標楷體" w:eastAsia="標楷體" w:hAnsi="標楷體" w:hint="eastAsia"/>
          <w:szCs w:val="24"/>
        </w:rPr>
        <w:t>管轄法院之限制</w:t>
      </w:r>
    </w:p>
    <w:p w14:paraId="4390E9E9" w14:textId="3F2455AA" w:rsidR="00F90A03" w:rsidRPr="00F27425" w:rsidRDefault="00342382" w:rsidP="00D42A60">
      <w:pPr>
        <w:ind w:leftChars="200" w:left="480" w:firstLineChars="200" w:firstLine="480"/>
        <w:jc w:val="both"/>
        <w:rPr>
          <w:rFonts w:ascii="標楷體" w:eastAsia="標楷體" w:hAnsi="標楷體"/>
          <w:szCs w:val="24"/>
        </w:rPr>
      </w:pPr>
      <w:r w:rsidRPr="00F27425">
        <w:rPr>
          <w:rFonts w:ascii="標楷體" w:eastAsia="標楷體" w:hAnsi="標楷體"/>
          <w:szCs w:val="24"/>
        </w:rPr>
        <w:t>支付命令之聲請，專屬債務人為被告時，依第</w:t>
      </w:r>
      <w:r w:rsidR="007A4DCC">
        <w:rPr>
          <w:rFonts w:ascii="標楷體" w:eastAsia="標楷體" w:hAnsi="標楷體"/>
          <w:szCs w:val="24"/>
        </w:rPr>
        <w:t>1</w:t>
      </w:r>
      <w:r w:rsidRPr="00F27425">
        <w:rPr>
          <w:rFonts w:ascii="標楷體" w:eastAsia="標楷體" w:hAnsi="標楷體"/>
          <w:szCs w:val="24"/>
        </w:rPr>
        <w:t>條、第</w:t>
      </w:r>
      <w:r w:rsidR="007A4DCC">
        <w:rPr>
          <w:rFonts w:ascii="標楷體" w:eastAsia="標楷體" w:hAnsi="標楷體"/>
          <w:szCs w:val="24"/>
        </w:rPr>
        <w:t>2</w:t>
      </w:r>
      <w:r w:rsidRPr="00F27425">
        <w:rPr>
          <w:rFonts w:ascii="標楷體" w:eastAsia="標楷體" w:hAnsi="標楷體"/>
          <w:szCs w:val="24"/>
        </w:rPr>
        <w:t>條、第</w:t>
      </w:r>
      <w:r w:rsidR="007A4DCC">
        <w:rPr>
          <w:rFonts w:ascii="標楷體" w:eastAsia="標楷體" w:hAnsi="標楷體"/>
          <w:szCs w:val="24"/>
        </w:rPr>
        <w:t>6</w:t>
      </w:r>
      <w:r w:rsidRPr="00F27425">
        <w:rPr>
          <w:rFonts w:ascii="標楷體" w:eastAsia="標楷體" w:hAnsi="標楷體"/>
          <w:szCs w:val="24"/>
        </w:rPr>
        <w:t>條或第 20 條規定有管轄權之法院管轄（§510）。</w:t>
      </w:r>
    </w:p>
    <w:p w14:paraId="296A606B" w14:textId="77777777" w:rsidR="00342382" w:rsidRPr="00F27425" w:rsidRDefault="00342382" w:rsidP="007A4DCC">
      <w:pPr>
        <w:pStyle w:val="a3"/>
        <w:ind w:leftChars="0" w:left="960"/>
        <w:jc w:val="both"/>
        <w:rPr>
          <w:rFonts w:ascii="標楷體" w:eastAsia="標楷體" w:hAnsi="標楷體"/>
          <w:szCs w:val="24"/>
        </w:rPr>
      </w:pPr>
    </w:p>
    <w:p w14:paraId="7101BB5D" w14:textId="77777777" w:rsidR="00342382" w:rsidRPr="00F27425" w:rsidRDefault="00F90A03" w:rsidP="007A4DCC">
      <w:pPr>
        <w:pStyle w:val="a3"/>
        <w:numPr>
          <w:ilvl w:val="0"/>
          <w:numId w:val="12"/>
        </w:numPr>
        <w:ind w:leftChars="0"/>
        <w:jc w:val="both"/>
        <w:rPr>
          <w:rFonts w:ascii="標楷體" w:eastAsia="標楷體" w:hAnsi="標楷體"/>
          <w:szCs w:val="24"/>
        </w:rPr>
      </w:pPr>
      <w:r w:rsidRPr="00F27425">
        <w:rPr>
          <w:rFonts w:ascii="標楷體" w:eastAsia="標楷體" w:hAnsi="標楷體" w:hint="eastAsia"/>
          <w:szCs w:val="24"/>
        </w:rPr>
        <w:t>督促程序之程式</w:t>
      </w:r>
    </w:p>
    <w:p w14:paraId="6A7DDE76" w14:textId="77777777" w:rsidR="002F1727" w:rsidRPr="00F27425" w:rsidRDefault="002F1727" w:rsidP="007A4DCC">
      <w:pPr>
        <w:pStyle w:val="a3"/>
        <w:ind w:leftChars="0" w:left="960"/>
        <w:jc w:val="both"/>
        <w:rPr>
          <w:rFonts w:ascii="標楷體" w:eastAsia="標楷體" w:hAnsi="標楷體"/>
          <w:szCs w:val="24"/>
        </w:rPr>
      </w:pPr>
    </w:p>
    <w:p w14:paraId="79CC427C" w14:textId="3285CABD" w:rsidR="008D1301" w:rsidRPr="00F27425" w:rsidRDefault="00F90A03" w:rsidP="007A4DCC">
      <w:pPr>
        <w:pStyle w:val="a3"/>
        <w:numPr>
          <w:ilvl w:val="0"/>
          <w:numId w:val="36"/>
        </w:numPr>
        <w:ind w:leftChars="0"/>
        <w:jc w:val="both"/>
        <w:rPr>
          <w:rFonts w:ascii="標楷體" w:eastAsia="標楷體" w:hAnsi="標楷體"/>
          <w:szCs w:val="24"/>
        </w:rPr>
      </w:pPr>
      <w:r w:rsidRPr="00F27425">
        <w:rPr>
          <w:rFonts w:ascii="標楷體" w:eastAsia="標楷體" w:hAnsi="標楷體"/>
          <w:szCs w:val="24"/>
        </w:rPr>
        <w:t>督促程序應表明之事項</w:t>
      </w:r>
    </w:p>
    <w:p w14:paraId="0CC33724" w14:textId="6A9B66DB" w:rsidR="00F90A03" w:rsidRPr="008843C4" w:rsidRDefault="008843C4" w:rsidP="00D42A60">
      <w:pPr>
        <w:ind w:leftChars="200" w:left="480" w:firstLineChars="200" w:firstLine="480"/>
        <w:jc w:val="both"/>
        <w:rPr>
          <w:rFonts w:ascii="標楷體" w:eastAsia="標楷體" w:hAnsi="標楷體"/>
          <w:szCs w:val="24"/>
        </w:rPr>
      </w:pPr>
      <w:r>
        <w:rPr>
          <w:rFonts w:ascii="標楷體" w:eastAsia="標楷體" w:hAnsi="標楷體" w:hint="eastAsia"/>
          <w:szCs w:val="24"/>
        </w:rPr>
        <w:lastRenderedPageBreak/>
        <w:t>據民事訴訟法511條明文，</w:t>
      </w:r>
      <w:proofErr w:type="gramStart"/>
      <w:r>
        <w:rPr>
          <w:rFonts w:ascii="標楷體" w:eastAsia="標楷體" w:hAnsi="標楷體" w:hint="eastAsia"/>
          <w:szCs w:val="24"/>
        </w:rPr>
        <w:t>支付命力之</w:t>
      </w:r>
      <w:proofErr w:type="gramEnd"/>
      <w:r>
        <w:rPr>
          <w:rFonts w:ascii="標楷體" w:eastAsia="標楷體" w:hAnsi="標楷體" w:hint="eastAsia"/>
          <w:szCs w:val="24"/>
        </w:rPr>
        <w:t>聲請，應表明下列所示各項：</w:t>
      </w:r>
      <w:r>
        <w:rPr>
          <w:rFonts w:ascii="標楷體" w:eastAsia="標楷體" w:hAnsi="標楷體"/>
          <w:szCs w:val="24"/>
        </w:rPr>
        <w:t>1.當事人及法定代理人</w:t>
      </w:r>
      <w:r>
        <w:rPr>
          <w:rFonts w:ascii="標楷體" w:eastAsia="標楷體" w:hAnsi="標楷體" w:hint="eastAsia"/>
          <w:szCs w:val="24"/>
        </w:rPr>
        <w:t>、2</w:t>
      </w:r>
      <w:r>
        <w:rPr>
          <w:rFonts w:ascii="標楷體" w:eastAsia="標楷體" w:hAnsi="標楷體"/>
          <w:szCs w:val="24"/>
        </w:rPr>
        <w:t>.請求之標的及其數量</w:t>
      </w:r>
      <w:r>
        <w:rPr>
          <w:rFonts w:ascii="標楷體" w:eastAsia="標楷體" w:hAnsi="標楷體" w:hint="eastAsia"/>
          <w:szCs w:val="24"/>
        </w:rPr>
        <w:t>、3.</w:t>
      </w:r>
      <w:r w:rsidR="00F90A03" w:rsidRPr="008843C4">
        <w:rPr>
          <w:rFonts w:ascii="標楷體" w:eastAsia="標楷體" w:hAnsi="標楷體"/>
          <w:szCs w:val="24"/>
        </w:rPr>
        <w:t>請求之原因事實</w:t>
      </w:r>
      <w:r>
        <w:rPr>
          <w:rFonts w:ascii="標楷體" w:eastAsia="標楷體" w:hAnsi="標楷體" w:hint="eastAsia"/>
          <w:szCs w:val="24"/>
        </w:rPr>
        <w:t>、4.</w:t>
      </w:r>
      <w:r>
        <w:rPr>
          <w:rFonts w:ascii="標楷體" w:eastAsia="標楷體" w:hAnsi="標楷體"/>
          <w:szCs w:val="24"/>
        </w:rPr>
        <w:t>其有對待給付者，已履行之情形</w:t>
      </w:r>
      <w:r>
        <w:rPr>
          <w:rFonts w:ascii="標楷體" w:eastAsia="標楷體" w:hAnsi="標楷體" w:hint="eastAsia"/>
          <w:szCs w:val="24"/>
        </w:rPr>
        <w:t>、</w:t>
      </w:r>
      <w:r w:rsidRPr="008843C4">
        <w:rPr>
          <w:rFonts w:ascii="標楷體" w:eastAsia="標楷體" w:hAnsi="標楷體" w:hint="eastAsia"/>
          <w:szCs w:val="24"/>
        </w:rPr>
        <w:t>5</w:t>
      </w:r>
      <w:r>
        <w:rPr>
          <w:rFonts w:ascii="標楷體" w:eastAsia="標楷體" w:hAnsi="標楷體" w:hint="eastAsia"/>
          <w:szCs w:val="24"/>
        </w:rPr>
        <w:t>.</w:t>
      </w:r>
      <w:r>
        <w:rPr>
          <w:rFonts w:ascii="標楷體" w:eastAsia="標楷體" w:hAnsi="標楷體"/>
          <w:szCs w:val="24"/>
        </w:rPr>
        <w:t>應發支付命令之陳述</w:t>
      </w:r>
      <w:r>
        <w:rPr>
          <w:rFonts w:ascii="標楷體" w:eastAsia="標楷體" w:hAnsi="標楷體" w:hint="eastAsia"/>
          <w:szCs w:val="24"/>
        </w:rPr>
        <w:t>、6.</w:t>
      </w:r>
      <w:r w:rsidR="00F90A03" w:rsidRPr="008843C4">
        <w:rPr>
          <w:rFonts w:ascii="標楷體" w:eastAsia="標楷體" w:hAnsi="標楷體"/>
          <w:szCs w:val="24"/>
        </w:rPr>
        <w:t>法院。</w:t>
      </w:r>
      <w:r>
        <w:rPr>
          <w:rFonts w:ascii="標楷體" w:eastAsia="標楷體" w:hAnsi="標楷體" w:hint="eastAsia"/>
          <w:szCs w:val="24"/>
        </w:rPr>
        <w:t>此外立法者更</w:t>
      </w:r>
      <w:r w:rsidRPr="00FF7C86">
        <w:rPr>
          <w:rFonts w:ascii="標楷體" w:eastAsia="標楷體" w:hAnsi="標楷體"/>
        </w:rPr>
        <w:t>為免支付命令淪為製造假債權及詐騙集團犯罪工具，嚴重影響債務人權益，</w:t>
      </w:r>
      <w:r w:rsidR="008D6895">
        <w:rPr>
          <w:rFonts w:ascii="標楷體" w:eastAsia="標楷體" w:hAnsi="標楷體" w:hint="eastAsia"/>
        </w:rPr>
        <w:t>及</w:t>
      </w:r>
      <w:r w:rsidRPr="00FF7C86">
        <w:rPr>
          <w:rFonts w:ascii="標楷體" w:eastAsia="標楷體" w:hAnsi="標楷體"/>
        </w:rPr>
        <w:t>兼顧督促程序在使數量明確且無</w:t>
      </w:r>
      <w:proofErr w:type="gramStart"/>
      <w:r w:rsidRPr="00FF7C86">
        <w:rPr>
          <w:rFonts w:ascii="標楷體" w:eastAsia="標楷體" w:hAnsi="標楷體"/>
        </w:rPr>
        <w:t>訟</w:t>
      </w:r>
      <w:proofErr w:type="gramEnd"/>
      <w:r w:rsidR="001716CB">
        <w:rPr>
          <w:rFonts w:ascii="標楷體" w:eastAsia="標楷體" w:hAnsi="標楷體"/>
        </w:rPr>
        <w:t>爭性之債權得以迅速、簡易確定，節省當事人勞費，</w:t>
      </w:r>
      <w:r w:rsidR="001716CB">
        <w:rPr>
          <w:rFonts w:ascii="標楷體" w:eastAsia="標楷體" w:hAnsi="標楷體" w:hint="eastAsia"/>
        </w:rPr>
        <w:t>達</w:t>
      </w:r>
      <w:r w:rsidRPr="00FF7C86">
        <w:rPr>
          <w:rFonts w:ascii="標楷體" w:eastAsia="標楷體" w:hAnsi="標楷體"/>
        </w:rPr>
        <w:t>訴訟經濟之效果，並保障債權人、債務人正當權益，避免支付命令遭不當利用，</w:t>
      </w:r>
      <w:proofErr w:type="gramStart"/>
      <w:r w:rsidRPr="00FF7C86">
        <w:rPr>
          <w:rFonts w:ascii="標楷體" w:eastAsia="標楷體" w:hAnsi="標楷體"/>
        </w:rPr>
        <w:t>爰</w:t>
      </w:r>
      <w:proofErr w:type="gramEnd"/>
      <w:r w:rsidR="00012A10">
        <w:rPr>
          <w:rFonts w:ascii="標楷體" w:eastAsia="標楷體" w:hAnsi="標楷體" w:hint="eastAsia"/>
        </w:rPr>
        <w:t>於民國104年修法中</w:t>
      </w:r>
      <w:r w:rsidRPr="008843C4">
        <w:rPr>
          <w:rFonts w:ascii="標楷體" w:eastAsia="標楷體" w:hAnsi="標楷體"/>
          <w:b/>
          <w:i/>
        </w:rPr>
        <w:t>增列第二項</w:t>
      </w:r>
      <w:r w:rsidRPr="008843C4">
        <w:rPr>
          <w:rFonts w:ascii="標楷體" w:eastAsia="標楷體" w:hAnsi="標楷體" w:hint="eastAsia"/>
          <w:b/>
          <w:i/>
        </w:rPr>
        <w:t>(</w:t>
      </w:r>
      <w:r w:rsidRPr="008843C4">
        <w:rPr>
          <w:rFonts w:ascii="標楷體" w:eastAsia="標楷體" w:hAnsi="標楷體"/>
          <w:b/>
          <w:i/>
          <w:szCs w:val="24"/>
        </w:rPr>
        <w:t>債權人之請求，</w:t>
      </w:r>
      <w:proofErr w:type="gramStart"/>
      <w:r w:rsidRPr="008843C4">
        <w:rPr>
          <w:rFonts w:ascii="標楷體" w:eastAsia="標楷體" w:hAnsi="標楷體"/>
          <w:b/>
          <w:i/>
          <w:szCs w:val="24"/>
        </w:rPr>
        <w:t>應釋明</w:t>
      </w:r>
      <w:proofErr w:type="gramEnd"/>
      <w:r w:rsidRPr="008843C4">
        <w:rPr>
          <w:rFonts w:ascii="標楷體" w:eastAsia="標楷體" w:hAnsi="標楷體"/>
          <w:b/>
          <w:i/>
          <w:szCs w:val="24"/>
        </w:rPr>
        <w:t>之</w:t>
      </w:r>
      <w:r w:rsidRPr="008843C4">
        <w:rPr>
          <w:rFonts w:ascii="標楷體" w:eastAsia="標楷體" w:hAnsi="標楷體" w:hint="eastAsia"/>
          <w:b/>
          <w:i/>
          <w:szCs w:val="24"/>
        </w:rPr>
        <w:t>)</w:t>
      </w:r>
      <w:r w:rsidRPr="00FF7C86">
        <w:rPr>
          <w:rFonts w:ascii="標楷體" w:eastAsia="標楷體" w:hAnsi="標楷體"/>
        </w:rPr>
        <w:t>，強化債權人</w:t>
      </w:r>
      <w:proofErr w:type="gramStart"/>
      <w:r w:rsidRPr="00FF7C86">
        <w:rPr>
          <w:rFonts w:ascii="標楷體" w:eastAsia="標楷體" w:hAnsi="標楷體"/>
        </w:rPr>
        <w:t>之釋明義務</w:t>
      </w:r>
      <w:proofErr w:type="gramEnd"/>
      <w:r w:rsidRPr="00FF7C86">
        <w:rPr>
          <w:rFonts w:ascii="標楷體" w:eastAsia="標楷體" w:hAnsi="標楷體"/>
        </w:rPr>
        <w:t>。若債權人未</w:t>
      </w:r>
      <w:proofErr w:type="gramStart"/>
      <w:r w:rsidRPr="00FF7C86">
        <w:rPr>
          <w:rFonts w:ascii="標楷體" w:eastAsia="標楷體" w:hAnsi="標楷體"/>
        </w:rPr>
        <w:t>為釋明</w:t>
      </w:r>
      <w:proofErr w:type="gramEnd"/>
      <w:r w:rsidRPr="00FF7C86">
        <w:rPr>
          <w:rFonts w:ascii="標楷體" w:eastAsia="標楷體" w:hAnsi="標楷體"/>
        </w:rPr>
        <w:t>，</w:t>
      </w:r>
      <w:proofErr w:type="gramStart"/>
      <w:r w:rsidRPr="00FF7C86">
        <w:rPr>
          <w:rFonts w:ascii="標楷體" w:eastAsia="標楷體" w:hAnsi="標楷體"/>
        </w:rPr>
        <w:t>或釋明不足</w:t>
      </w:r>
      <w:proofErr w:type="gramEnd"/>
      <w:r w:rsidRPr="00FF7C86">
        <w:rPr>
          <w:rFonts w:ascii="標楷體" w:eastAsia="標楷體" w:hAnsi="標楷體"/>
        </w:rPr>
        <w:t>，不合於本條第二項規定者，法院得依本法第五百十三條第一項規定，駁回債權人之聲請。</w:t>
      </w:r>
    </w:p>
    <w:p w14:paraId="38271C2C" w14:textId="77777777" w:rsidR="00622C00" w:rsidRPr="008843C4" w:rsidRDefault="00622C00" w:rsidP="007A4DCC">
      <w:pPr>
        <w:jc w:val="both"/>
        <w:rPr>
          <w:rFonts w:ascii="標楷體" w:eastAsia="標楷體" w:hAnsi="標楷體"/>
          <w:szCs w:val="24"/>
        </w:rPr>
      </w:pPr>
    </w:p>
    <w:p w14:paraId="4F709162" w14:textId="29F8CA01" w:rsidR="008D1301" w:rsidRPr="00F27425" w:rsidRDefault="00622C00" w:rsidP="007A4DCC">
      <w:pPr>
        <w:pStyle w:val="a3"/>
        <w:numPr>
          <w:ilvl w:val="0"/>
          <w:numId w:val="36"/>
        </w:numPr>
        <w:ind w:leftChars="0"/>
        <w:jc w:val="both"/>
        <w:rPr>
          <w:rFonts w:ascii="標楷體" w:eastAsia="標楷體" w:hAnsi="標楷體"/>
          <w:szCs w:val="24"/>
        </w:rPr>
      </w:pPr>
      <w:proofErr w:type="gramStart"/>
      <w:r w:rsidRPr="00F27425">
        <w:rPr>
          <w:rFonts w:ascii="標楷體" w:eastAsia="標楷體" w:hAnsi="標楷體"/>
          <w:szCs w:val="24"/>
        </w:rPr>
        <w:t>預納督促</w:t>
      </w:r>
      <w:proofErr w:type="gramEnd"/>
      <w:r w:rsidRPr="00F27425">
        <w:rPr>
          <w:rFonts w:ascii="標楷體" w:eastAsia="標楷體" w:hAnsi="標楷體"/>
          <w:szCs w:val="24"/>
        </w:rPr>
        <w:t xml:space="preserve">程序之裁判費 </w:t>
      </w:r>
    </w:p>
    <w:p w14:paraId="2C864ECB" w14:textId="77777777" w:rsidR="00622C00" w:rsidRPr="007A4DCC" w:rsidRDefault="00622C00" w:rsidP="007A4DCC">
      <w:pPr>
        <w:ind w:leftChars="200" w:left="480"/>
        <w:jc w:val="both"/>
        <w:rPr>
          <w:rFonts w:ascii="標楷體" w:eastAsia="標楷體" w:hAnsi="標楷體"/>
          <w:szCs w:val="24"/>
        </w:rPr>
      </w:pPr>
      <w:r w:rsidRPr="007A4DCC">
        <w:rPr>
          <w:rFonts w:ascii="標楷體" w:eastAsia="標楷體" w:hAnsi="標楷體" w:hint="eastAsia"/>
          <w:szCs w:val="24"/>
        </w:rPr>
        <w:t>1.</w:t>
      </w:r>
      <w:proofErr w:type="gramStart"/>
      <w:r w:rsidRPr="007A4DCC">
        <w:rPr>
          <w:rFonts w:ascii="標楷體" w:eastAsia="標楷體" w:hAnsi="標楷體"/>
          <w:szCs w:val="24"/>
        </w:rPr>
        <w:t>聲請發支付</w:t>
      </w:r>
      <w:proofErr w:type="gramEnd"/>
      <w:r w:rsidRPr="007A4DCC">
        <w:rPr>
          <w:rFonts w:ascii="標楷體" w:eastAsia="標楷體" w:hAnsi="標楷體"/>
          <w:szCs w:val="24"/>
        </w:rPr>
        <w:t>命令，徵收裁判費 500 元</w:t>
      </w:r>
      <w:r w:rsidRPr="007A4DCC">
        <w:rPr>
          <w:rFonts w:ascii="標楷體" w:eastAsia="標楷體" w:hAnsi="標楷體" w:hint="eastAsia"/>
          <w:szCs w:val="24"/>
        </w:rPr>
        <w:t xml:space="preserve"> (</w:t>
      </w:r>
      <w:r w:rsidRPr="007A4DCC">
        <w:rPr>
          <w:rFonts w:ascii="標楷體" w:eastAsia="標楷體" w:hAnsi="標楷體"/>
          <w:szCs w:val="24"/>
        </w:rPr>
        <w:t>§77-19</w:t>
      </w:r>
      <w:r w:rsidRPr="007A4DCC">
        <w:rPr>
          <w:rFonts w:ascii="標楷體" w:eastAsia="標楷體" w:hAnsi="標楷體" w:hint="eastAsia"/>
          <w:szCs w:val="24"/>
        </w:rPr>
        <w:t>)</w:t>
      </w:r>
      <w:r w:rsidRPr="007A4DCC">
        <w:rPr>
          <w:rFonts w:ascii="標楷體" w:eastAsia="標楷體" w:hAnsi="標楷體"/>
          <w:szCs w:val="24"/>
        </w:rPr>
        <w:t xml:space="preserve"> </w:t>
      </w:r>
    </w:p>
    <w:p w14:paraId="378994B1" w14:textId="54343902" w:rsidR="00622C00" w:rsidRPr="00F27425" w:rsidRDefault="00622C00" w:rsidP="007A4DCC">
      <w:pPr>
        <w:pStyle w:val="a3"/>
        <w:jc w:val="both"/>
        <w:rPr>
          <w:rFonts w:ascii="標楷體" w:eastAsia="標楷體" w:hAnsi="標楷體"/>
          <w:szCs w:val="24"/>
        </w:rPr>
      </w:pPr>
      <w:r w:rsidRPr="00F27425">
        <w:rPr>
          <w:rFonts w:ascii="標楷體" w:eastAsia="標楷體" w:hAnsi="標楷體" w:hint="eastAsia"/>
          <w:szCs w:val="24"/>
        </w:rPr>
        <w:t>2.</w:t>
      </w:r>
      <w:r w:rsidRPr="00F27425">
        <w:rPr>
          <w:rFonts w:ascii="標楷體" w:eastAsia="標楷體" w:hAnsi="標楷體"/>
          <w:szCs w:val="24"/>
        </w:rPr>
        <w:t>此項費用，並作為債務人於法定期間內提出異議視為起訴後訴訟費用或調解程序費用之一部</w:t>
      </w:r>
      <w:r w:rsidRPr="00F27425">
        <w:rPr>
          <w:rFonts w:ascii="標楷體" w:eastAsia="標楷體" w:hAnsi="標楷體" w:hint="eastAsia"/>
          <w:szCs w:val="24"/>
        </w:rPr>
        <w:t xml:space="preserve"> (</w:t>
      </w:r>
      <w:r w:rsidRPr="00F27425">
        <w:rPr>
          <w:rFonts w:ascii="標楷體" w:eastAsia="標楷體" w:hAnsi="標楷體"/>
          <w:szCs w:val="24"/>
        </w:rPr>
        <w:t>§519</w:t>
      </w:r>
      <w:r w:rsidRPr="00F27425">
        <w:rPr>
          <w:rFonts w:ascii="標楷體" w:eastAsia="標楷體" w:hAnsi="標楷體" w:cs="微軟正黑體" w:hint="eastAsia"/>
          <w:szCs w:val="24"/>
        </w:rPr>
        <w:t>Ⅱ</w:t>
      </w:r>
      <w:r w:rsidRPr="00F27425">
        <w:rPr>
          <w:rFonts w:ascii="標楷體" w:eastAsia="標楷體" w:hAnsi="標楷體" w:hint="eastAsia"/>
          <w:szCs w:val="24"/>
        </w:rPr>
        <w:t>)</w:t>
      </w:r>
    </w:p>
    <w:p w14:paraId="341A2710" w14:textId="77777777" w:rsidR="00622C00" w:rsidRPr="00F27425" w:rsidRDefault="00622C00" w:rsidP="007A4DCC">
      <w:pPr>
        <w:jc w:val="both"/>
        <w:rPr>
          <w:rFonts w:ascii="標楷體" w:eastAsia="標楷體" w:hAnsi="標楷體"/>
          <w:szCs w:val="24"/>
        </w:rPr>
      </w:pPr>
    </w:p>
    <w:p w14:paraId="6A5965B4" w14:textId="77777777" w:rsidR="008D1301" w:rsidRPr="00F27425" w:rsidRDefault="008D1301" w:rsidP="007A4DCC">
      <w:pPr>
        <w:jc w:val="both"/>
        <w:rPr>
          <w:rFonts w:ascii="標楷體" w:eastAsia="標楷體" w:hAnsi="標楷體"/>
          <w:szCs w:val="24"/>
        </w:rPr>
      </w:pPr>
    </w:p>
    <w:p w14:paraId="029FA2E1" w14:textId="77777777" w:rsidR="00BA1F34" w:rsidRPr="00F27425" w:rsidRDefault="00FF7C86" w:rsidP="007A4DCC">
      <w:pPr>
        <w:pStyle w:val="a3"/>
        <w:numPr>
          <w:ilvl w:val="0"/>
          <w:numId w:val="12"/>
        </w:numPr>
        <w:ind w:leftChars="0"/>
        <w:jc w:val="both"/>
        <w:rPr>
          <w:rFonts w:ascii="標楷體" w:eastAsia="標楷體" w:hAnsi="標楷體"/>
          <w:szCs w:val="24"/>
        </w:rPr>
      </w:pPr>
      <w:r w:rsidRPr="00F27425">
        <w:rPr>
          <w:rFonts w:ascii="標楷體" w:eastAsia="標楷體" w:hAnsi="標楷體" w:hint="eastAsia"/>
          <w:szCs w:val="24"/>
        </w:rPr>
        <w:t>小結</w:t>
      </w:r>
    </w:p>
    <w:p w14:paraId="41384836" w14:textId="0868AF42" w:rsidR="00A23CFA" w:rsidRPr="00F27425" w:rsidRDefault="000C6F59" w:rsidP="00D42A60">
      <w:pPr>
        <w:pStyle w:val="a3"/>
        <w:ind w:leftChars="0" w:firstLineChars="200" w:firstLine="480"/>
        <w:jc w:val="both"/>
        <w:rPr>
          <w:rFonts w:ascii="標楷體" w:eastAsia="標楷體" w:hAnsi="標楷體"/>
          <w:szCs w:val="24"/>
        </w:rPr>
      </w:pPr>
      <w:r>
        <w:rPr>
          <w:rFonts w:ascii="標楷體" w:eastAsia="標楷體" w:hAnsi="標楷體" w:hint="eastAsia"/>
          <w:szCs w:val="24"/>
        </w:rPr>
        <w:t>就上所述</w:t>
      </w:r>
      <w:r w:rsidR="00A23CFA" w:rsidRPr="00F27425">
        <w:rPr>
          <w:rFonts w:ascii="標楷體" w:eastAsia="標楷體" w:hAnsi="標楷體" w:hint="eastAsia"/>
          <w:szCs w:val="24"/>
        </w:rPr>
        <w:t>之發動要件</w:t>
      </w:r>
      <w:r w:rsidR="00A23CFA" w:rsidRPr="00F27425">
        <w:rPr>
          <w:rFonts w:ascii="標楷體" w:eastAsia="標楷體" w:hAnsi="標楷體"/>
          <w:szCs w:val="24"/>
        </w:rPr>
        <w:t>，</w:t>
      </w:r>
      <w:r w:rsidR="00A23CFA" w:rsidRPr="00F27425">
        <w:rPr>
          <w:rFonts w:ascii="標楷體" w:eastAsia="標楷體" w:hAnsi="標楷體" w:hint="eastAsia"/>
          <w:szCs w:val="24"/>
        </w:rPr>
        <w:t>立法者於民國106年6月之修正案中</w:t>
      </w:r>
      <w:r w:rsidR="00A23CFA" w:rsidRPr="00F27425">
        <w:rPr>
          <w:rFonts w:ascii="標楷體" w:eastAsia="標楷體" w:hAnsi="標楷體"/>
          <w:szCs w:val="24"/>
        </w:rPr>
        <w:t>，</w:t>
      </w:r>
      <w:r w:rsidR="00A23CFA" w:rsidRPr="00F27425">
        <w:rPr>
          <w:rFonts w:ascii="標楷體" w:eastAsia="標楷體" w:hAnsi="標楷體" w:hint="eastAsia"/>
          <w:szCs w:val="24"/>
        </w:rPr>
        <w:t>在</w:t>
      </w:r>
      <w:r w:rsidR="00EE7115" w:rsidRPr="00F27425">
        <w:rPr>
          <w:rFonts w:ascii="標楷體" w:eastAsia="標楷體" w:hAnsi="標楷體" w:hint="eastAsia"/>
          <w:szCs w:val="24"/>
        </w:rPr>
        <w:t>聲請</w:t>
      </w:r>
      <w:r w:rsidR="00DF7020" w:rsidRPr="00F27425">
        <w:rPr>
          <w:rFonts w:ascii="標楷體" w:eastAsia="標楷體" w:hAnsi="標楷體" w:hint="eastAsia"/>
          <w:szCs w:val="24"/>
        </w:rPr>
        <w:t>要件之部分僅多為</w:t>
      </w:r>
      <w:proofErr w:type="gramStart"/>
      <w:r w:rsidR="00DF7020" w:rsidRPr="00F27425">
        <w:rPr>
          <w:rFonts w:ascii="標楷體" w:eastAsia="標楷體" w:hAnsi="標楷體" w:hint="eastAsia"/>
          <w:szCs w:val="24"/>
        </w:rPr>
        <w:t>強化釋明義務</w:t>
      </w:r>
      <w:proofErr w:type="gramEnd"/>
      <w:r w:rsidR="00DF7020" w:rsidRPr="00F27425">
        <w:rPr>
          <w:rFonts w:ascii="標楷體" w:eastAsia="標楷體" w:hAnsi="標楷體" w:hint="eastAsia"/>
          <w:szCs w:val="24"/>
        </w:rPr>
        <w:t>進而增訂</w:t>
      </w:r>
      <w:r w:rsidR="00A23CFA" w:rsidRPr="00F27425">
        <w:rPr>
          <w:rFonts w:ascii="標楷體" w:eastAsia="標楷體" w:hAnsi="標楷體" w:hint="eastAsia"/>
          <w:szCs w:val="24"/>
        </w:rPr>
        <w:t>511</w:t>
      </w:r>
      <w:r w:rsidR="00DF7020" w:rsidRPr="00F27425">
        <w:rPr>
          <w:rFonts w:ascii="標楷體" w:eastAsia="標楷體" w:hAnsi="標楷體" w:hint="eastAsia"/>
          <w:szCs w:val="24"/>
        </w:rPr>
        <w:t>條二項規定</w:t>
      </w:r>
      <w:r w:rsidR="00A23CFA" w:rsidRPr="00F27425">
        <w:rPr>
          <w:rFonts w:ascii="標楷體" w:eastAsia="標楷體" w:hAnsi="標楷體"/>
          <w:szCs w:val="24"/>
        </w:rPr>
        <w:t>，</w:t>
      </w:r>
      <w:r w:rsidR="00A23CFA" w:rsidRPr="00F27425">
        <w:rPr>
          <w:rFonts w:ascii="標楷體" w:eastAsia="標楷體" w:hAnsi="標楷體" w:hint="eastAsia"/>
          <w:szCs w:val="24"/>
        </w:rPr>
        <w:t>其餘部分</w:t>
      </w:r>
      <w:proofErr w:type="gramStart"/>
      <w:r w:rsidR="00A23CFA" w:rsidRPr="00F27425">
        <w:rPr>
          <w:rFonts w:ascii="標楷體" w:eastAsia="標楷體" w:hAnsi="標楷體" w:hint="eastAsia"/>
          <w:szCs w:val="24"/>
        </w:rPr>
        <w:t>並未著</w:t>
      </w:r>
      <w:proofErr w:type="gramEnd"/>
      <w:r w:rsidR="00A23CFA" w:rsidRPr="00F27425">
        <w:rPr>
          <w:rFonts w:ascii="標楷體" w:eastAsia="標楷體" w:hAnsi="標楷體" w:hint="eastAsia"/>
          <w:szCs w:val="24"/>
        </w:rPr>
        <w:t>墨。於此本文將就增修條文</w:t>
      </w:r>
      <w:proofErr w:type="gramStart"/>
      <w:r w:rsidR="00A23CFA" w:rsidRPr="00F27425">
        <w:rPr>
          <w:rFonts w:ascii="標楷體" w:eastAsia="標楷體" w:hAnsi="標楷體" w:hint="eastAsia"/>
          <w:szCs w:val="24"/>
        </w:rPr>
        <w:t>之釋明義務</w:t>
      </w:r>
      <w:proofErr w:type="gramEnd"/>
      <w:r w:rsidR="00A23CFA" w:rsidRPr="00F27425">
        <w:rPr>
          <w:rFonts w:ascii="標楷體" w:eastAsia="標楷體" w:hAnsi="標楷體"/>
          <w:szCs w:val="24"/>
        </w:rPr>
        <w:t>，</w:t>
      </w:r>
      <w:r w:rsidR="00A23CFA" w:rsidRPr="00F27425">
        <w:rPr>
          <w:rFonts w:ascii="標楷體" w:eastAsia="標楷體" w:hAnsi="標楷體" w:hint="eastAsia"/>
          <w:szCs w:val="24"/>
        </w:rPr>
        <w:t>比較修法前後實務</w:t>
      </w:r>
      <w:proofErr w:type="gramStart"/>
      <w:r w:rsidR="00A23CFA" w:rsidRPr="00F27425">
        <w:rPr>
          <w:rFonts w:ascii="標楷體" w:eastAsia="標楷體" w:hAnsi="標楷體" w:hint="eastAsia"/>
          <w:szCs w:val="24"/>
        </w:rPr>
        <w:t>對於釋明義務</w:t>
      </w:r>
      <w:proofErr w:type="gramEnd"/>
      <w:r w:rsidR="00A23CFA" w:rsidRPr="00F27425">
        <w:rPr>
          <w:rFonts w:ascii="標楷體" w:eastAsia="標楷體" w:hAnsi="標楷體" w:hint="eastAsia"/>
          <w:szCs w:val="24"/>
        </w:rPr>
        <w:t>之</w:t>
      </w:r>
      <w:r w:rsidR="008D1301" w:rsidRPr="00F27425">
        <w:rPr>
          <w:rFonts w:ascii="標楷體" w:eastAsia="標楷體" w:hAnsi="標楷體" w:hint="eastAsia"/>
          <w:szCs w:val="24"/>
        </w:rPr>
        <w:t>要求</w:t>
      </w:r>
      <w:r w:rsidR="00A23CFA" w:rsidRPr="00F27425">
        <w:rPr>
          <w:rFonts w:ascii="標楷體" w:eastAsia="標楷體" w:hAnsi="標楷體" w:hint="eastAsia"/>
          <w:szCs w:val="24"/>
        </w:rPr>
        <w:t>及認定。(說明</w:t>
      </w:r>
      <w:proofErr w:type="gramStart"/>
      <w:r w:rsidR="00A23CFA" w:rsidRPr="00F27425">
        <w:rPr>
          <w:rFonts w:ascii="標楷體" w:eastAsia="標楷體" w:hAnsi="標楷體" w:hint="eastAsia"/>
          <w:szCs w:val="24"/>
        </w:rPr>
        <w:t>詳後述</w:t>
      </w:r>
      <w:proofErr w:type="gramEnd"/>
      <w:r w:rsidR="00A23CFA" w:rsidRPr="00F27425">
        <w:rPr>
          <w:rFonts w:ascii="標楷體" w:eastAsia="標楷體" w:hAnsi="標楷體" w:hint="eastAsia"/>
          <w:szCs w:val="24"/>
        </w:rPr>
        <w:t>)。</w:t>
      </w:r>
    </w:p>
    <w:p w14:paraId="27371B7C" w14:textId="77777777" w:rsidR="000712F5" w:rsidRPr="00F27425" w:rsidRDefault="000712F5" w:rsidP="007A4DCC">
      <w:pPr>
        <w:jc w:val="both"/>
        <w:rPr>
          <w:rFonts w:ascii="標楷體" w:eastAsia="標楷體" w:hAnsi="標楷體"/>
          <w:szCs w:val="24"/>
        </w:rPr>
        <w:sectPr w:rsidR="000712F5" w:rsidRPr="00F27425" w:rsidSect="000712F5">
          <w:type w:val="continuous"/>
          <w:pgSz w:w="11906" w:h="16838"/>
          <w:pgMar w:top="1440" w:right="1800" w:bottom="1440" w:left="1800" w:header="851" w:footer="992" w:gutter="0"/>
          <w:cols w:space="720"/>
          <w:docGrid w:type="lines" w:linePitch="360"/>
        </w:sectPr>
      </w:pPr>
    </w:p>
    <w:p w14:paraId="082622B1" w14:textId="77777777" w:rsidR="00A23CFA" w:rsidRPr="00F27425" w:rsidRDefault="000712F5" w:rsidP="007A4DCC">
      <w:pPr>
        <w:widowControl/>
        <w:jc w:val="both"/>
        <w:rPr>
          <w:rFonts w:ascii="標楷體" w:eastAsia="標楷體" w:hAnsi="標楷體"/>
          <w:szCs w:val="24"/>
        </w:rPr>
      </w:pPr>
      <w:r w:rsidRPr="00F27425">
        <w:rPr>
          <w:rFonts w:ascii="標楷體" w:eastAsia="標楷體" w:hAnsi="標楷體"/>
          <w:szCs w:val="24"/>
        </w:rPr>
        <w:lastRenderedPageBreak/>
        <w:br w:type="page"/>
      </w:r>
    </w:p>
    <w:p w14:paraId="3A0D8E15" w14:textId="77777777" w:rsidR="00A23CFA" w:rsidRPr="00D26E5B" w:rsidRDefault="00A23CFA" w:rsidP="00D26E5B">
      <w:pPr>
        <w:pStyle w:val="a3"/>
        <w:numPr>
          <w:ilvl w:val="0"/>
          <w:numId w:val="46"/>
        </w:numPr>
        <w:ind w:leftChars="0"/>
        <w:jc w:val="both"/>
        <w:rPr>
          <w:rFonts w:ascii="標楷體" w:eastAsia="標楷體" w:hAnsi="標楷體"/>
          <w:szCs w:val="24"/>
        </w:rPr>
      </w:pPr>
      <w:r w:rsidRPr="00D26E5B">
        <w:rPr>
          <w:rFonts w:ascii="標楷體" w:eastAsia="標楷體" w:hAnsi="標楷體" w:hint="eastAsia"/>
          <w:szCs w:val="24"/>
        </w:rPr>
        <w:lastRenderedPageBreak/>
        <w:t>聲請要件修法前後之比較</w:t>
      </w:r>
    </w:p>
    <w:p w14:paraId="351094CB" w14:textId="77777777" w:rsidR="00A23CFA" w:rsidRPr="00F27425" w:rsidRDefault="00A23CFA" w:rsidP="007A4DCC">
      <w:pPr>
        <w:jc w:val="both"/>
        <w:rPr>
          <w:rFonts w:ascii="標楷體" w:eastAsia="標楷體" w:hAnsi="標楷體"/>
          <w:szCs w:val="24"/>
        </w:rPr>
      </w:pPr>
    </w:p>
    <w:p w14:paraId="58290F6E" w14:textId="77777777" w:rsidR="00AB54F5" w:rsidRPr="00F27425" w:rsidRDefault="00A23CFA" w:rsidP="007A4DCC">
      <w:pPr>
        <w:pStyle w:val="a3"/>
        <w:numPr>
          <w:ilvl w:val="0"/>
          <w:numId w:val="20"/>
        </w:numPr>
        <w:ind w:leftChars="0"/>
        <w:jc w:val="both"/>
        <w:rPr>
          <w:rFonts w:ascii="標楷體" w:eastAsia="標楷體" w:hAnsi="標楷體"/>
          <w:szCs w:val="24"/>
        </w:rPr>
      </w:pPr>
      <w:proofErr w:type="gramStart"/>
      <w:r w:rsidRPr="00F27425">
        <w:rPr>
          <w:rFonts w:ascii="標楷體" w:eastAsia="標楷體" w:hAnsi="標楷體" w:hint="eastAsia"/>
          <w:szCs w:val="24"/>
        </w:rPr>
        <w:t>釋明義務</w:t>
      </w:r>
      <w:proofErr w:type="gramEnd"/>
      <w:r w:rsidRPr="00F27425">
        <w:rPr>
          <w:rFonts w:ascii="標楷體" w:eastAsia="標楷體" w:hAnsi="標楷體" w:hint="eastAsia"/>
          <w:szCs w:val="24"/>
        </w:rPr>
        <w:t>之意義</w:t>
      </w:r>
    </w:p>
    <w:p w14:paraId="3A41C714" w14:textId="77777777" w:rsidR="00A23CFA" w:rsidRPr="00F27425" w:rsidRDefault="00AB54F5" w:rsidP="00D42A60">
      <w:pPr>
        <w:ind w:leftChars="200" w:left="480" w:firstLineChars="200" w:firstLine="480"/>
        <w:jc w:val="both"/>
        <w:rPr>
          <w:rFonts w:ascii="標楷體" w:eastAsia="標楷體" w:hAnsi="標楷體"/>
          <w:szCs w:val="24"/>
        </w:rPr>
      </w:pPr>
      <w:r w:rsidRPr="00F27425">
        <w:rPr>
          <w:rFonts w:ascii="標楷體" w:eastAsia="標楷體" w:hAnsi="標楷體" w:hint="eastAsia"/>
          <w:szCs w:val="24"/>
        </w:rPr>
        <w:t>民事訴訟法第二百八十四條規定，「</w:t>
      </w:r>
      <w:proofErr w:type="gramStart"/>
      <w:r w:rsidRPr="00F27425">
        <w:rPr>
          <w:rFonts w:ascii="標楷體" w:eastAsia="標楷體" w:hAnsi="標楷體" w:hint="eastAsia"/>
          <w:szCs w:val="24"/>
        </w:rPr>
        <w:t>釋明事實上</w:t>
      </w:r>
      <w:proofErr w:type="gramEnd"/>
      <w:r w:rsidRPr="00F27425">
        <w:rPr>
          <w:rFonts w:ascii="標楷體" w:eastAsia="標楷體" w:hAnsi="標楷體" w:hint="eastAsia"/>
          <w:szCs w:val="24"/>
        </w:rPr>
        <w:t>之主張者，得用可使法</w:t>
      </w:r>
      <w:r w:rsidR="00B51685" w:rsidRPr="00F27425">
        <w:rPr>
          <w:rFonts w:ascii="標楷體" w:eastAsia="標楷體" w:hAnsi="標楷體" w:hint="eastAsia"/>
          <w:szCs w:val="24"/>
        </w:rPr>
        <w:t>院信其主張為真實之一切證據。但依證據之性質不能即時調查者，不在</w:t>
      </w:r>
      <w:r w:rsidRPr="00F27425">
        <w:rPr>
          <w:rFonts w:ascii="標楷體" w:eastAsia="標楷體" w:hAnsi="標楷體" w:hint="eastAsia"/>
          <w:szCs w:val="24"/>
        </w:rPr>
        <w:t>限。」另參照</w:t>
      </w:r>
      <w:r w:rsidR="008D1301" w:rsidRPr="00F27425">
        <w:rPr>
          <w:rFonts w:ascii="標楷體" w:eastAsia="標楷體" w:hAnsi="標楷體" w:hint="eastAsia"/>
          <w:szCs w:val="24"/>
        </w:rPr>
        <w:t>最高法院</w:t>
      </w:r>
      <w:r w:rsidR="008D1301" w:rsidRPr="00F27425">
        <w:rPr>
          <w:rFonts w:ascii="標楷體" w:eastAsia="標楷體" w:hAnsi="標楷體"/>
          <w:szCs w:val="24"/>
        </w:rPr>
        <w:t>96</w:t>
      </w:r>
      <w:r w:rsidR="008D1301" w:rsidRPr="00F27425">
        <w:rPr>
          <w:rFonts w:ascii="標楷體" w:eastAsia="標楷體" w:hAnsi="標楷體" w:hint="eastAsia"/>
          <w:szCs w:val="24"/>
        </w:rPr>
        <w:t>年度</w:t>
      </w:r>
      <w:proofErr w:type="gramStart"/>
      <w:r w:rsidR="008D1301" w:rsidRPr="00F27425">
        <w:rPr>
          <w:rFonts w:ascii="標楷體" w:eastAsia="標楷體" w:hAnsi="標楷體" w:hint="eastAsia"/>
          <w:szCs w:val="24"/>
        </w:rPr>
        <w:t>台抗字</w:t>
      </w:r>
      <w:proofErr w:type="gramEnd"/>
      <w:r w:rsidR="008D1301" w:rsidRPr="00F27425">
        <w:rPr>
          <w:rFonts w:ascii="標楷體" w:eastAsia="標楷體" w:hAnsi="標楷體" w:hint="eastAsia"/>
          <w:szCs w:val="24"/>
        </w:rPr>
        <w:t>第</w:t>
      </w:r>
      <w:r w:rsidR="008D1301" w:rsidRPr="00F27425">
        <w:rPr>
          <w:rFonts w:ascii="標楷體" w:eastAsia="標楷體" w:hAnsi="標楷體"/>
          <w:szCs w:val="24"/>
        </w:rPr>
        <w:t>849</w:t>
      </w:r>
      <w:r w:rsidR="008D1301" w:rsidRPr="00F27425">
        <w:rPr>
          <w:rFonts w:ascii="標楷體" w:eastAsia="標楷體" w:hAnsi="標楷體" w:hint="eastAsia"/>
          <w:szCs w:val="24"/>
        </w:rPr>
        <w:t>號民事裁定</w:t>
      </w:r>
      <w:r w:rsidR="00B51685" w:rsidRPr="00F27425">
        <w:rPr>
          <w:rFonts w:ascii="標楷體" w:eastAsia="標楷體" w:hAnsi="標楷體" w:hint="eastAsia"/>
          <w:szCs w:val="24"/>
        </w:rPr>
        <w:t>之意旨</w:t>
      </w:r>
      <w:r w:rsidRPr="00F27425">
        <w:rPr>
          <w:rFonts w:ascii="標楷體" w:eastAsia="標楷體" w:hAnsi="標楷體" w:hint="eastAsia"/>
          <w:szCs w:val="24"/>
        </w:rPr>
        <w:t>，</w:t>
      </w:r>
      <w:r w:rsidR="00B51685" w:rsidRPr="00F27425">
        <w:rPr>
          <w:rFonts w:ascii="標楷體" w:eastAsia="標楷體" w:hAnsi="標楷體" w:hint="eastAsia"/>
          <w:szCs w:val="24"/>
        </w:rPr>
        <w:t>「</w:t>
      </w:r>
      <w:proofErr w:type="gramStart"/>
      <w:r w:rsidRPr="00F27425">
        <w:rPr>
          <w:rFonts w:ascii="標楷體" w:eastAsia="標楷體" w:hAnsi="標楷體" w:hint="eastAsia"/>
          <w:b/>
          <w:i/>
          <w:szCs w:val="24"/>
        </w:rPr>
        <w:t>所謂釋明</w:t>
      </w:r>
      <w:proofErr w:type="gramEnd"/>
      <w:r w:rsidRPr="00F27425">
        <w:rPr>
          <w:rFonts w:ascii="標楷體" w:eastAsia="標楷體" w:hAnsi="標楷體" w:hint="eastAsia"/>
          <w:b/>
          <w:i/>
          <w:szCs w:val="24"/>
        </w:rPr>
        <w:t>，係指當事人提出證據，使法院就其主張之事實，得生薄弱之心證，信其大概如此之行為。</w:t>
      </w:r>
      <w:r w:rsidR="00B51685" w:rsidRPr="00F27425">
        <w:rPr>
          <w:rFonts w:ascii="標楷體" w:eastAsia="標楷體" w:hAnsi="標楷體" w:hint="eastAsia"/>
          <w:szCs w:val="24"/>
        </w:rPr>
        <w:t>」</w:t>
      </w:r>
      <w:r w:rsidRPr="00F27425">
        <w:rPr>
          <w:rFonts w:ascii="標楷體" w:eastAsia="標楷體" w:hAnsi="標楷體" w:hint="eastAsia"/>
          <w:szCs w:val="24"/>
        </w:rPr>
        <w:t>亦即當事人必須提出</w:t>
      </w:r>
      <w:proofErr w:type="gramStart"/>
      <w:r w:rsidRPr="00F27425">
        <w:rPr>
          <w:rFonts w:ascii="標楷體" w:eastAsia="標楷體" w:hAnsi="標楷體" w:hint="eastAsia"/>
          <w:szCs w:val="24"/>
        </w:rPr>
        <w:t>用以釋明之</w:t>
      </w:r>
      <w:proofErr w:type="gramEnd"/>
      <w:r w:rsidRPr="00F27425">
        <w:rPr>
          <w:rFonts w:ascii="標楷體" w:eastAsia="標楷體" w:hAnsi="標楷體" w:hint="eastAsia"/>
          <w:szCs w:val="24"/>
        </w:rPr>
        <w:t>證據，其目的在使法院得出薄弱之心證</w:t>
      </w:r>
      <w:r w:rsidR="008D1301" w:rsidRPr="00F27425">
        <w:rPr>
          <w:rFonts w:ascii="標楷體" w:eastAsia="標楷體" w:hAnsi="標楷體" w:hint="eastAsia"/>
          <w:szCs w:val="24"/>
        </w:rPr>
        <w:t>。</w:t>
      </w:r>
    </w:p>
    <w:p w14:paraId="087F151F" w14:textId="77777777" w:rsidR="00AB54F5" w:rsidRPr="00F27425" w:rsidRDefault="00AB54F5" w:rsidP="007A4DCC">
      <w:pPr>
        <w:pStyle w:val="a3"/>
        <w:ind w:leftChars="0" w:left="960"/>
        <w:jc w:val="both"/>
        <w:rPr>
          <w:rFonts w:ascii="標楷體" w:eastAsia="標楷體" w:hAnsi="標楷體"/>
          <w:szCs w:val="24"/>
        </w:rPr>
      </w:pPr>
    </w:p>
    <w:p w14:paraId="0E5A0B59" w14:textId="77777777" w:rsidR="008D1301" w:rsidRPr="00F27425" w:rsidRDefault="006434AB" w:rsidP="007A4DCC">
      <w:pPr>
        <w:pStyle w:val="a3"/>
        <w:numPr>
          <w:ilvl w:val="0"/>
          <w:numId w:val="20"/>
        </w:numPr>
        <w:ind w:leftChars="0"/>
        <w:jc w:val="both"/>
        <w:rPr>
          <w:rFonts w:ascii="標楷體" w:eastAsia="標楷體" w:hAnsi="標楷體"/>
          <w:szCs w:val="24"/>
        </w:rPr>
      </w:pPr>
      <w:r w:rsidRPr="00F27425">
        <w:rPr>
          <w:rFonts w:ascii="標楷體" w:eastAsia="標楷體" w:hAnsi="標楷體" w:hint="eastAsia"/>
          <w:szCs w:val="24"/>
        </w:rPr>
        <w:t>修法前實務之</w:t>
      </w:r>
      <w:r w:rsidR="006140A0" w:rsidRPr="00F27425">
        <w:rPr>
          <w:rFonts w:ascii="標楷體" w:eastAsia="標楷體" w:hAnsi="標楷體" w:hint="eastAsia"/>
          <w:szCs w:val="24"/>
        </w:rPr>
        <w:t>運作</w:t>
      </w:r>
    </w:p>
    <w:p w14:paraId="2F721AF1" w14:textId="67ADE4E6" w:rsidR="00B51685" w:rsidRPr="00F27425" w:rsidRDefault="001A7054" w:rsidP="00D42A60">
      <w:pPr>
        <w:ind w:leftChars="200" w:left="480" w:firstLineChars="200" w:firstLine="480"/>
        <w:jc w:val="both"/>
        <w:rPr>
          <w:rFonts w:ascii="標楷體" w:eastAsia="標楷體" w:hAnsi="標楷體"/>
          <w:szCs w:val="24"/>
        </w:rPr>
      </w:pPr>
      <w:r w:rsidRPr="00F27425">
        <w:rPr>
          <w:rFonts w:ascii="標楷體" w:eastAsia="標楷體" w:hAnsi="標楷體" w:hint="eastAsia"/>
          <w:szCs w:val="24"/>
        </w:rPr>
        <w:t>參照</w:t>
      </w:r>
      <w:r w:rsidR="008D1301" w:rsidRPr="00F27425">
        <w:rPr>
          <w:rFonts w:ascii="標楷體" w:eastAsia="標楷體" w:hAnsi="標楷體" w:hint="eastAsia"/>
          <w:szCs w:val="24"/>
        </w:rPr>
        <w:t>最高法院61年</w:t>
      </w:r>
      <w:proofErr w:type="gramStart"/>
      <w:r w:rsidR="008D1301" w:rsidRPr="00F27425">
        <w:rPr>
          <w:rFonts w:ascii="標楷體" w:eastAsia="標楷體" w:hAnsi="標楷體" w:hint="eastAsia"/>
          <w:szCs w:val="24"/>
        </w:rPr>
        <w:t>台抗字</w:t>
      </w:r>
      <w:proofErr w:type="gramEnd"/>
      <w:r w:rsidR="008D1301" w:rsidRPr="00F27425">
        <w:rPr>
          <w:rFonts w:ascii="標楷體" w:eastAsia="標楷體" w:hAnsi="標楷體" w:hint="eastAsia"/>
          <w:szCs w:val="24"/>
        </w:rPr>
        <w:t>第407號民事判例之意旨「</w:t>
      </w:r>
      <w:r w:rsidR="008D1301" w:rsidRPr="00F27425">
        <w:rPr>
          <w:rFonts w:ascii="標楷體" w:eastAsia="標楷體" w:hAnsi="標楷體" w:hint="eastAsia"/>
          <w:b/>
          <w:i/>
          <w:szCs w:val="24"/>
          <w:u w:val="single"/>
        </w:rPr>
        <w:t>支付命令之聲請，除應表明當事人及法院外，</w:t>
      </w:r>
      <w:proofErr w:type="gramStart"/>
      <w:r w:rsidR="008D1301" w:rsidRPr="00F27425">
        <w:rPr>
          <w:rFonts w:ascii="標楷體" w:eastAsia="標楷體" w:hAnsi="標楷體" w:hint="eastAsia"/>
          <w:b/>
          <w:i/>
          <w:szCs w:val="24"/>
          <w:u w:val="single"/>
        </w:rPr>
        <w:t>衹</w:t>
      </w:r>
      <w:proofErr w:type="gramEnd"/>
      <w:r w:rsidR="008D1301" w:rsidRPr="00F27425">
        <w:rPr>
          <w:rFonts w:ascii="標楷體" w:eastAsia="標楷體" w:hAnsi="標楷體" w:hint="eastAsia"/>
          <w:b/>
          <w:i/>
          <w:szCs w:val="24"/>
          <w:u w:val="single"/>
        </w:rPr>
        <w:t>須表明請求之標</w:t>
      </w:r>
      <w:proofErr w:type="gramStart"/>
      <w:r w:rsidR="008D1301" w:rsidRPr="00F27425">
        <w:rPr>
          <w:rFonts w:ascii="標楷體" w:eastAsia="標楷體" w:hAnsi="標楷體" w:hint="eastAsia"/>
          <w:b/>
          <w:i/>
          <w:szCs w:val="24"/>
          <w:u w:val="single"/>
        </w:rPr>
        <w:t>的並其數量</w:t>
      </w:r>
      <w:proofErr w:type="gramEnd"/>
      <w:r w:rsidR="008D1301" w:rsidRPr="00F27425">
        <w:rPr>
          <w:rFonts w:ascii="標楷體" w:eastAsia="標楷體" w:hAnsi="標楷體" w:hint="eastAsia"/>
          <w:b/>
          <w:i/>
          <w:szCs w:val="24"/>
          <w:u w:val="single"/>
        </w:rPr>
        <w:t>及請求之原因、事實，以及應發支付命令之陳述</w:t>
      </w:r>
      <w:r w:rsidR="008D1301" w:rsidRPr="00F27425">
        <w:rPr>
          <w:rFonts w:ascii="標楷體" w:eastAsia="標楷體" w:hAnsi="標楷體" w:hint="eastAsia"/>
          <w:szCs w:val="24"/>
        </w:rPr>
        <w:t>，</w:t>
      </w:r>
      <w:proofErr w:type="gramStart"/>
      <w:r w:rsidR="008D1301" w:rsidRPr="00F27425">
        <w:rPr>
          <w:rFonts w:ascii="標楷體" w:eastAsia="標楷體" w:hAnsi="標楷體" w:hint="eastAsia"/>
          <w:szCs w:val="24"/>
        </w:rPr>
        <w:t>此觀民事</w:t>
      </w:r>
      <w:proofErr w:type="gramEnd"/>
      <w:r w:rsidR="008D1301" w:rsidRPr="00F27425">
        <w:rPr>
          <w:rFonts w:ascii="標楷體" w:eastAsia="標楷體" w:hAnsi="標楷體" w:hint="eastAsia"/>
          <w:szCs w:val="24"/>
        </w:rPr>
        <w:t>訴訟法第五百十一條之規定自明。因</w:t>
      </w:r>
      <w:r w:rsidR="008D1301" w:rsidRPr="00F27425">
        <w:rPr>
          <w:rFonts w:ascii="標楷體" w:eastAsia="標楷體" w:hAnsi="標楷體" w:hint="eastAsia"/>
          <w:b/>
          <w:i/>
          <w:szCs w:val="24"/>
          <w:u w:val="single"/>
        </w:rPr>
        <w:t>債務人依同法第五百十六條對支付命令得不附理由提出異議，故債權人在督促程序就其所主張之事實毋庸舉證，其債權憑證之有無，與應否許可發支付命令無關</w:t>
      </w:r>
      <w:r w:rsidR="008D1301" w:rsidRPr="00F27425">
        <w:rPr>
          <w:rFonts w:ascii="標楷體" w:eastAsia="標楷體" w:hAnsi="標楷體" w:hint="eastAsia"/>
          <w:szCs w:val="24"/>
        </w:rPr>
        <w:t>。再抗告人以債權憑證有偽造情事為理由，對於依督促程序而發之支付命令及假執行裁定聲請再審，核與民事訴訟法第四百九十六條第一項第九款之規定尚有未合。」</w:t>
      </w:r>
      <w:r w:rsidR="000F2FC0">
        <w:rPr>
          <w:rFonts w:ascii="標楷體" w:eastAsia="標楷體" w:hAnsi="標楷體" w:hint="eastAsia"/>
          <w:szCs w:val="24"/>
        </w:rPr>
        <w:t>此一判例一直係為</w:t>
      </w:r>
      <w:r w:rsidR="00FE4D69" w:rsidRPr="00F27425">
        <w:rPr>
          <w:rFonts w:ascii="標楷體" w:eastAsia="標楷體" w:hAnsi="標楷體" w:hint="eastAsia"/>
          <w:szCs w:val="24"/>
        </w:rPr>
        <w:t>實務上就</w:t>
      </w:r>
      <w:r w:rsidR="00D66BF1" w:rsidRPr="00F27425">
        <w:rPr>
          <w:rFonts w:ascii="標楷體" w:eastAsia="標楷體" w:hAnsi="標楷體" w:hint="eastAsia"/>
          <w:szCs w:val="24"/>
        </w:rPr>
        <w:t>支付命令聲請要件之依歸。</w:t>
      </w:r>
      <w:proofErr w:type="gramStart"/>
      <w:r w:rsidR="00B51685" w:rsidRPr="00F27425">
        <w:rPr>
          <w:rFonts w:ascii="標楷體" w:eastAsia="標楷體" w:hAnsi="標楷體" w:hint="eastAsia"/>
          <w:szCs w:val="24"/>
        </w:rPr>
        <w:t>惟</w:t>
      </w:r>
      <w:proofErr w:type="gramEnd"/>
      <w:r w:rsidR="00B51685" w:rsidRPr="00F27425">
        <w:rPr>
          <w:rFonts w:ascii="標楷體" w:eastAsia="標楷體" w:hAnsi="標楷體" w:hint="eastAsia"/>
          <w:szCs w:val="24"/>
        </w:rPr>
        <w:t>此一見解</w:t>
      </w:r>
      <w:r w:rsidR="009E38ED" w:rsidRPr="00F27425">
        <w:rPr>
          <w:rFonts w:ascii="標楷體" w:eastAsia="標楷體" w:hAnsi="標楷體" w:hint="eastAsia"/>
          <w:szCs w:val="24"/>
        </w:rPr>
        <w:t>因修法之故</w:t>
      </w:r>
      <w:r w:rsidR="00B51685" w:rsidRPr="00F27425">
        <w:rPr>
          <w:rFonts w:ascii="標楷體" w:eastAsia="標楷體" w:hAnsi="標楷體" w:hint="eastAsia"/>
          <w:szCs w:val="24"/>
        </w:rPr>
        <w:t>已於民國104 年10月 20日104 年度第16次民事庭會議決議，不再援用。</w:t>
      </w:r>
    </w:p>
    <w:p w14:paraId="47805F93" w14:textId="77777777" w:rsidR="009E38ED" w:rsidRPr="00F27425" w:rsidRDefault="009E38ED" w:rsidP="007A4DCC">
      <w:pPr>
        <w:ind w:leftChars="200" w:left="480"/>
        <w:jc w:val="both"/>
        <w:rPr>
          <w:rFonts w:ascii="標楷體" w:eastAsia="標楷體" w:hAnsi="標楷體"/>
          <w:szCs w:val="24"/>
        </w:rPr>
      </w:pPr>
    </w:p>
    <w:p w14:paraId="22DF63F2" w14:textId="77777777" w:rsidR="00B174CA" w:rsidRPr="00F27425" w:rsidRDefault="009E38ED" w:rsidP="00D42A60">
      <w:pPr>
        <w:ind w:leftChars="200" w:left="480" w:firstLineChars="200" w:firstLine="480"/>
        <w:jc w:val="both"/>
        <w:rPr>
          <w:rFonts w:ascii="標楷體" w:eastAsia="標楷體" w:hAnsi="標楷體"/>
          <w:szCs w:val="24"/>
        </w:rPr>
      </w:pPr>
      <w:r w:rsidRPr="00F27425">
        <w:rPr>
          <w:rFonts w:ascii="標楷體" w:eastAsia="標楷體" w:hAnsi="標楷體" w:hint="eastAsia"/>
          <w:szCs w:val="24"/>
        </w:rPr>
        <w:t>就單以此</w:t>
      </w:r>
      <w:r w:rsidR="002E7247" w:rsidRPr="00F27425">
        <w:rPr>
          <w:rFonts w:ascii="標楷體" w:eastAsia="標楷體" w:hAnsi="標楷體" w:hint="eastAsia"/>
          <w:szCs w:val="24"/>
        </w:rPr>
        <w:t>判例</w:t>
      </w:r>
      <w:r w:rsidRPr="00F27425">
        <w:rPr>
          <w:rFonts w:ascii="標楷體" w:eastAsia="標楷體" w:hAnsi="標楷體" w:hint="eastAsia"/>
          <w:szCs w:val="24"/>
        </w:rPr>
        <w:t>論，</w:t>
      </w:r>
      <w:r w:rsidR="002E7247" w:rsidRPr="00F27425">
        <w:rPr>
          <w:rFonts w:ascii="標楷體" w:eastAsia="標楷體" w:hAnsi="標楷體" w:hint="eastAsia"/>
          <w:szCs w:val="24"/>
        </w:rPr>
        <w:t>最高法院認為對於債權人無須於支付命令中表明各項</w:t>
      </w:r>
      <w:r w:rsidR="004E6778" w:rsidRPr="00F27425">
        <w:rPr>
          <w:rFonts w:ascii="標楷體" w:eastAsia="標楷體" w:hAnsi="標楷體" w:hint="eastAsia"/>
          <w:szCs w:val="24"/>
        </w:rPr>
        <w:t>為舉證，係基於債務人就債權人所發之支付命令得不附任何理由即可提出異議之</w:t>
      </w:r>
      <w:r w:rsidR="00FE4D69" w:rsidRPr="00F27425">
        <w:rPr>
          <w:rFonts w:ascii="標楷體" w:eastAsia="標楷體" w:hAnsi="標楷體" w:hint="eastAsia"/>
          <w:szCs w:val="24"/>
        </w:rPr>
        <w:t>同一</w:t>
      </w:r>
      <w:r w:rsidR="004E6778" w:rsidRPr="00F27425">
        <w:rPr>
          <w:rFonts w:ascii="標楷體" w:eastAsia="標楷體" w:hAnsi="標楷體" w:hint="eastAsia"/>
          <w:szCs w:val="24"/>
        </w:rPr>
        <w:t>法理。</w:t>
      </w:r>
      <w:proofErr w:type="gramStart"/>
      <w:r w:rsidR="000E40DA" w:rsidRPr="00F27425">
        <w:rPr>
          <w:rFonts w:ascii="標楷體" w:eastAsia="標楷體" w:hAnsi="標楷體" w:hint="eastAsia"/>
          <w:szCs w:val="24"/>
        </w:rPr>
        <w:t>爰</w:t>
      </w:r>
      <w:proofErr w:type="gramEnd"/>
      <w:r w:rsidR="000E40DA" w:rsidRPr="00F27425">
        <w:rPr>
          <w:rFonts w:ascii="標楷體" w:eastAsia="標楷體" w:hAnsi="標楷體" w:hint="eastAsia"/>
          <w:szCs w:val="24"/>
        </w:rPr>
        <w:t>此，可以非常具</w:t>
      </w:r>
      <w:proofErr w:type="gramStart"/>
      <w:r w:rsidR="000E40DA" w:rsidRPr="00F27425">
        <w:rPr>
          <w:rFonts w:ascii="標楷體" w:eastAsia="標楷體" w:hAnsi="標楷體" w:hint="eastAsia"/>
          <w:szCs w:val="24"/>
        </w:rPr>
        <w:t>象</w:t>
      </w:r>
      <w:proofErr w:type="gramEnd"/>
      <w:r w:rsidR="000E40DA" w:rsidRPr="00F27425">
        <w:rPr>
          <w:rFonts w:ascii="標楷體" w:eastAsia="標楷體" w:hAnsi="標楷體" w:hint="eastAsia"/>
          <w:szCs w:val="24"/>
        </w:rPr>
        <w:t>的推論法院就</w:t>
      </w:r>
      <w:proofErr w:type="gramStart"/>
      <w:r w:rsidR="000E40DA" w:rsidRPr="00F27425">
        <w:rPr>
          <w:rFonts w:ascii="標楷體" w:eastAsia="標楷體" w:hAnsi="標楷體" w:hint="eastAsia"/>
          <w:szCs w:val="24"/>
        </w:rPr>
        <w:t>一</w:t>
      </w:r>
      <w:proofErr w:type="gramEnd"/>
      <w:r w:rsidR="000E40DA" w:rsidRPr="00F27425">
        <w:rPr>
          <w:rFonts w:ascii="標楷體" w:eastAsia="標楷體" w:hAnsi="標楷體" w:hint="eastAsia"/>
          <w:szCs w:val="24"/>
        </w:rPr>
        <w:t>支付命令之核發，僅就形式要件之審視，實體債權債務關係則</w:t>
      </w:r>
      <w:r w:rsidR="00B174CA" w:rsidRPr="00F27425">
        <w:rPr>
          <w:rFonts w:ascii="標楷體" w:eastAsia="標楷體" w:hAnsi="標楷體" w:hint="eastAsia"/>
          <w:szCs w:val="24"/>
        </w:rPr>
        <w:t>全憑</w:t>
      </w:r>
      <w:r w:rsidR="000E40DA" w:rsidRPr="00F27425">
        <w:rPr>
          <w:rFonts w:ascii="標楷體" w:eastAsia="標楷體" w:hAnsi="標楷體" w:hint="eastAsia"/>
          <w:szCs w:val="24"/>
        </w:rPr>
        <w:t>債權人</w:t>
      </w:r>
      <w:r w:rsidR="00B174CA" w:rsidRPr="00F27425">
        <w:rPr>
          <w:rFonts w:ascii="標楷體" w:eastAsia="標楷體" w:hAnsi="標楷體" w:hint="eastAsia"/>
          <w:szCs w:val="24"/>
        </w:rPr>
        <w:t>一方</w:t>
      </w:r>
      <w:r w:rsidR="000E40DA" w:rsidRPr="00F27425">
        <w:rPr>
          <w:rFonts w:ascii="標楷體" w:eastAsia="標楷體" w:hAnsi="標楷體" w:hint="eastAsia"/>
          <w:szCs w:val="24"/>
        </w:rPr>
        <w:t>所提為斷</w:t>
      </w:r>
      <w:r w:rsidR="00B174CA" w:rsidRPr="00F27425">
        <w:rPr>
          <w:rFonts w:ascii="標楷體" w:eastAsia="標楷體" w:hAnsi="標楷體" w:hint="eastAsia"/>
          <w:szCs w:val="24"/>
        </w:rPr>
        <w:t>無須當事人為任何實體法上</w:t>
      </w:r>
      <w:proofErr w:type="gramStart"/>
      <w:r w:rsidR="00B174CA" w:rsidRPr="00F27425">
        <w:rPr>
          <w:rFonts w:ascii="標楷體" w:eastAsia="標楷體" w:hAnsi="標楷體" w:hint="eastAsia"/>
          <w:szCs w:val="24"/>
        </w:rPr>
        <w:t>之釋明</w:t>
      </w:r>
      <w:proofErr w:type="gramEnd"/>
      <w:r w:rsidR="000E40DA" w:rsidRPr="00F27425">
        <w:rPr>
          <w:rFonts w:ascii="標楷體" w:eastAsia="標楷體" w:hAnsi="標楷體" w:hint="eastAsia"/>
          <w:szCs w:val="24"/>
        </w:rPr>
        <w:t>。亦即</w:t>
      </w:r>
      <w:r w:rsidR="006140A0" w:rsidRPr="00F27425">
        <w:rPr>
          <w:rFonts w:ascii="標楷體" w:eastAsia="標楷體" w:hAnsi="標楷體" w:hint="eastAsia"/>
          <w:szCs w:val="24"/>
        </w:rPr>
        <w:t>於民事訴訟法512條二項修訂前，</w:t>
      </w:r>
      <w:r w:rsidR="000E40DA" w:rsidRPr="00F27425">
        <w:rPr>
          <w:rFonts w:ascii="標楷體" w:eastAsia="標楷體" w:hAnsi="標楷體" w:hint="eastAsia"/>
          <w:szCs w:val="24"/>
        </w:rPr>
        <w:t>法院對於債權人所聲請之</w:t>
      </w:r>
      <w:r w:rsidR="00B174CA" w:rsidRPr="00F27425">
        <w:rPr>
          <w:rFonts w:ascii="標楷體" w:eastAsia="標楷體" w:hAnsi="標楷體" w:hint="eastAsia"/>
          <w:szCs w:val="24"/>
        </w:rPr>
        <w:t>支付命令，近乎</w:t>
      </w:r>
      <w:r w:rsidR="00D66BF1" w:rsidRPr="00F27425">
        <w:rPr>
          <w:rFonts w:ascii="標楷體" w:eastAsia="標楷體" w:hAnsi="標楷體" w:hint="eastAsia"/>
          <w:szCs w:val="24"/>
        </w:rPr>
        <w:t>係以</w:t>
      </w:r>
      <w:r w:rsidR="00B174CA" w:rsidRPr="00F27425">
        <w:rPr>
          <w:rFonts w:ascii="標楷體" w:eastAsia="標楷體" w:hAnsi="標楷體" w:hint="eastAsia"/>
          <w:b/>
          <w:i/>
          <w:szCs w:val="24"/>
        </w:rPr>
        <w:t>照單全收</w:t>
      </w:r>
      <w:r w:rsidR="00D66BF1" w:rsidRPr="00F27425">
        <w:rPr>
          <w:rFonts w:ascii="標楷體" w:eastAsia="標楷體" w:hAnsi="標楷體" w:hint="eastAsia"/>
          <w:szCs w:val="24"/>
        </w:rPr>
        <w:t>之模式為受理</w:t>
      </w:r>
      <w:r w:rsidR="00B174CA" w:rsidRPr="00F27425">
        <w:rPr>
          <w:rFonts w:ascii="標楷體" w:eastAsia="標楷體" w:hAnsi="標楷體" w:hint="eastAsia"/>
          <w:szCs w:val="24"/>
        </w:rPr>
        <w:t>。</w:t>
      </w:r>
    </w:p>
    <w:p w14:paraId="6F09F0B6" w14:textId="77777777" w:rsidR="006434AB" w:rsidRPr="00F27425" w:rsidRDefault="006434AB" w:rsidP="007A4DCC">
      <w:pPr>
        <w:pStyle w:val="HTML"/>
        <w:ind w:leftChars="200" w:left="480"/>
        <w:jc w:val="both"/>
        <w:rPr>
          <w:rFonts w:ascii="標楷體" w:eastAsia="標楷體" w:hAnsi="標楷體"/>
        </w:rPr>
      </w:pPr>
    </w:p>
    <w:p w14:paraId="6B645FFD" w14:textId="77777777" w:rsidR="0083261F" w:rsidRPr="00F27425" w:rsidRDefault="006140A0" w:rsidP="00BD343C">
      <w:pPr>
        <w:pStyle w:val="HTML"/>
        <w:numPr>
          <w:ilvl w:val="0"/>
          <w:numId w:val="42"/>
        </w:numPr>
        <w:jc w:val="both"/>
        <w:rPr>
          <w:rFonts w:ascii="標楷體" w:eastAsia="標楷體" w:hAnsi="標楷體"/>
        </w:rPr>
      </w:pPr>
      <w:r w:rsidRPr="00F27425">
        <w:rPr>
          <w:rFonts w:ascii="標楷體" w:eastAsia="標楷體" w:hAnsi="標楷體" w:hint="eastAsia"/>
        </w:rPr>
        <w:t>修法後實務之運作</w:t>
      </w:r>
    </w:p>
    <w:p w14:paraId="04C36014" w14:textId="744E862F" w:rsidR="00BB4F62" w:rsidRPr="00F27425" w:rsidRDefault="001E7339" w:rsidP="00D42A60">
      <w:pPr>
        <w:pStyle w:val="HTML"/>
        <w:shd w:val="clear" w:color="auto" w:fill="FFFFFF"/>
        <w:spacing w:line="360" w:lineRule="atLeast"/>
        <w:ind w:leftChars="200" w:left="480" w:firstLineChars="200" w:firstLine="480"/>
        <w:jc w:val="both"/>
        <w:rPr>
          <w:rFonts w:ascii="標楷體" w:eastAsia="標楷體" w:hAnsi="標楷體"/>
        </w:rPr>
      </w:pPr>
      <w:r w:rsidRPr="00F27425">
        <w:rPr>
          <w:rFonts w:ascii="標楷體" w:eastAsia="標楷體" w:hAnsi="標楷體" w:hint="eastAsia"/>
        </w:rPr>
        <w:t>綜觀民事訴訟法511條二項新增訂以來，</w:t>
      </w:r>
      <w:r w:rsidR="001132F3" w:rsidRPr="00F27425">
        <w:rPr>
          <w:rFonts w:ascii="標楷體" w:eastAsia="標楷體" w:hAnsi="標楷體" w:hint="eastAsia"/>
        </w:rPr>
        <w:t>查</w:t>
      </w:r>
      <w:r w:rsidR="00EC52FC" w:rsidRPr="00F27425">
        <w:rPr>
          <w:rFonts w:ascii="標楷體" w:eastAsia="標楷體" w:hAnsi="標楷體" w:hint="eastAsia"/>
        </w:rPr>
        <w:t>各項實體裁定書(如下列所示</w:t>
      </w:r>
      <w:r w:rsidR="00BB4F62" w:rsidRPr="00F27425">
        <w:rPr>
          <w:rFonts w:ascii="標楷體" w:eastAsia="標楷體" w:hAnsi="標楷體" w:hint="eastAsia"/>
        </w:rPr>
        <w:t>1、2之裁定</w:t>
      </w:r>
      <w:r w:rsidR="00EC52FC" w:rsidRPr="00F27425">
        <w:rPr>
          <w:rFonts w:ascii="標楷體" w:eastAsia="標楷體" w:hAnsi="標楷體" w:hint="eastAsia"/>
        </w:rPr>
        <w:t>)</w:t>
      </w:r>
      <w:proofErr w:type="gramStart"/>
      <w:r w:rsidR="00EC52FC" w:rsidRPr="00F27425">
        <w:rPr>
          <w:rFonts w:ascii="標楷體" w:eastAsia="標楷體" w:hAnsi="標楷體" w:hint="eastAsia"/>
        </w:rPr>
        <w:t>似若</w:t>
      </w:r>
      <w:r w:rsidR="00C53940" w:rsidRPr="00F27425">
        <w:rPr>
          <w:rFonts w:ascii="標楷體" w:eastAsia="標楷體" w:hAnsi="標楷體" w:hint="eastAsia"/>
        </w:rPr>
        <w:t>未</w:t>
      </w:r>
      <w:proofErr w:type="gramEnd"/>
      <w:r w:rsidR="00C53940" w:rsidRPr="00F27425">
        <w:rPr>
          <w:rFonts w:ascii="標楷體" w:eastAsia="標楷體" w:hAnsi="標楷體" w:hint="eastAsia"/>
        </w:rPr>
        <w:t>沿用舊法時期61年</w:t>
      </w:r>
      <w:proofErr w:type="gramStart"/>
      <w:r w:rsidR="00C53940" w:rsidRPr="00F27425">
        <w:rPr>
          <w:rFonts w:ascii="標楷體" w:eastAsia="標楷體" w:hAnsi="標楷體" w:hint="eastAsia"/>
        </w:rPr>
        <w:t>台抗字</w:t>
      </w:r>
      <w:proofErr w:type="gramEnd"/>
      <w:r w:rsidR="00C53940" w:rsidRPr="00F27425">
        <w:rPr>
          <w:rFonts w:ascii="標楷體" w:eastAsia="標楷體" w:hAnsi="標楷體" w:hint="eastAsia"/>
        </w:rPr>
        <w:t>第407號民事判例，所認定之意見(債權人無須就其所提出之事實</w:t>
      </w:r>
      <w:proofErr w:type="gramStart"/>
      <w:r w:rsidR="00C53940" w:rsidRPr="00F27425">
        <w:rPr>
          <w:rFonts w:ascii="標楷體" w:eastAsia="標楷體" w:hAnsi="標楷體" w:hint="eastAsia"/>
        </w:rPr>
        <w:t>惟</w:t>
      </w:r>
      <w:proofErr w:type="gramEnd"/>
      <w:r w:rsidR="00C53940" w:rsidRPr="00F27425">
        <w:rPr>
          <w:rFonts w:ascii="標楷體" w:eastAsia="標楷體" w:hAnsi="標楷體" w:hint="eastAsia"/>
        </w:rPr>
        <w:t>舉證)，而足以</w:t>
      </w:r>
      <w:r w:rsidR="00EC52FC" w:rsidRPr="00F27425">
        <w:rPr>
          <w:rFonts w:ascii="標楷體" w:eastAsia="標楷體" w:hAnsi="標楷體" w:hint="eastAsia"/>
        </w:rPr>
        <w:t>認為法院對於債權人</w:t>
      </w:r>
      <w:proofErr w:type="gramStart"/>
      <w:r w:rsidR="00EC52FC" w:rsidRPr="00F27425">
        <w:rPr>
          <w:rFonts w:ascii="標楷體" w:eastAsia="標楷體" w:hAnsi="標楷體" w:hint="eastAsia"/>
        </w:rPr>
        <w:t>的釋明義務</w:t>
      </w:r>
      <w:proofErr w:type="gramEnd"/>
      <w:r w:rsidR="00EC52FC" w:rsidRPr="00F27425">
        <w:rPr>
          <w:rFonts w:ascii="標楷體" w:eastAsia="標楷體" w:hAnsi="標楷體" w:hint="eastAsia"/>
        </w:rPr>
        <w:t>有為提高之</w:t>
      </w:r>
      <w:proofErr w:type="gramStart"/>
      <w:r w:rsidR="00EC52FC" w:rsidRPr="00F27425">
        <w:rPr>
          <w:rFonts w:ascii="標楷體" w:eastAsia="標楷體" w:hAnsi="標楷體" w:hint="eastAsia"/>
        </w:rPr>
        <w:t>象</w:t>
      </w:r>
      <w:proofErr w:type="gramEnd"/>
      <w:r w:rsidR="00EC52FC" w:rsidRPr="00F27425">
        <w:rPr>
          <w:rFonts w:ascii="標楷體" w:eastAsia="標楷體" w:hAnsi="標楷體" w:hint="eastAsia"/>
        </w:rPr>
        <w:t>。</w:t>
      </w:r>
      <w:r w:rsidR="00C53940" w:rsidRPr="00F27425">
        <w:rPr>
          <w:rFonts w:ascii="標楷體" w:eastAsia="標楷體" w:hAnsi="標楷體" w:hint="eastAsia"/>
        </w:rPr>
        <w:t>惟若細細探查法院之裁定，仍</w:t>
      </w:r>
      <w:proofErr w:type="gramStart"/>
      <w:r w:rsidR="00C53940" w:rsidRPr="00F27425">
        <w:rPr>
          <w:rFonts w:ascii="標楷體" w:eastAsia="標楷體" w:hAnsi="標楷體" w:hint="eastAsia"/>
        </w:rPr>
        <w:t>不難發</w:t>
      </w:r>
      <w:r w:rsidR="00344819">
        <w:rPr>
          <w:rFonts w:ascii="標楷體" w:eastAsia="標楷體" w:hAnsi="標楷體" w:hint="eastAsia"/>
        </w:rPr>
        <w:t>見</w:t>
      </w:r>
      <w:proofErr w:type="gramEnd"/>
      <w:r w:rsidR="00C53940" w:rsidRPr="00F27425">
        <w:rPr>
          <w:rFonts w:ascii="標楷體" w:eastAsia="標楷體" w:hAnsi="標楷體" w:hint="eastAsia"/>
        </w:rPr>
        <w:t>，法院對於</w:t>
      </w:r>
      <w:proofErr w:type="gramStart"/>
      <w:r w:rsidR="00C53940" w:rsidRPr="00F27425">
        <w:rPr>
          <w:rFonts w:ascii="標楷體" w:eastAsia="標楷體" w:hAnsi="標楷體" w:hint="eastAsia"/>
        </w:rPr>
        <w:t>債權人釋明義務</w:t>
      </w:r>
      <w:proofErr w:type="gramEnd"/>
      <w:r w:rsidR="00C53940" w:rsidRPr="00F27425">
        <w:rPr>
          <w:rFonts w:ascii="標楷體" w:eastAsia="標楷體" w:hAnsi="標楷體" w:hint="eastAsia"/>
        </w:rPr>
        <w:t>之要求仍多侷限於權利外觀</w:t>
      </w:r>
      <w:r w:rsidR="00BB4F62" w:rsidRPr="00F27425">
        <w:rPr>
          <w:rFonts w:ascii="標楷體" w:eastAsia="標楷體" w:hAnsi="標楷體" w:hint="eastAsia"/>
        </w:rPr>
        <w:t>之表明，對於實質權利義務關係仍未為聞問。然在更多的裁定中(如下列所示3之裁定)</w:t>
      </w:r>
      <w:r w:rsidR="002F03DF">
        <w:rPr>
          <w:rFonts w:ascii="標楷體" w:eastAsia="標楷體" w:hAnsi="標楷體" w:hint="eastAsia"/>
        </w:rPr>
        <w:t>，更可</w:t>
      </w:r>
      <w:proofErr w:type="gramStart"/>
      <w:r w:rsidR="002F03DF">
        <w:rPr>
          <w:rFonts w:ascii="標楷體" w:eastAsia="標楷體" w:hAnsi="標楷體" w:hint="eastAsia"/>
        </w:rPr>
        <w:t>清楚的</w:t>
      </w:r>
      <w:r w:rsidR="00BB4F62" w:rsidRPr="00F27425">
        <w:rPr>
          <w:rFonts w:ascii="標楷體" w:eastAsia="標楷體" w:hAnsi="標楷體" w:hint="eastAsia"/>
        </w:rPr>
        <w:t>發見</w:t>
      </w:r>
      <w:proofErr w:type="gramEnd"/>
      <w:r w:rsidR="00BB4F62" w:rsidRPr="00F27425">
        <w:rPr>
          <w:rFonts w:ascii="標楷體" w:eastAsia="標楷體" w:hAnsi="標楷體" w:hint="eastAsia"/>
        </w:rPr>
        <w:t>法院</w:t>
      </w:r>
      <w:proofErr w:type="gramStart"/>
      <w:r w:rsidR="00BB4F62" w:rsidRPr="00F27425">
        <w:rPr>
          <w:rFonts w:ascii="標楷體" w:eastAsia="標楷體" w:hAnsi="標楷體" w:hint="eastAsia"/>
        </w:rPr>
        <w:t>對於釋明義務</w:t>
      </w:r>
      <w:proofErr w:type="gramEnd"/>
      <w:r w:rsidR="00BB4F62" w:rsidRPr="00F27425">
        <w:rPr>
          <w:rFonts w:ascii="標楷體" w:eastAsia="標楷體" w:hAnsi="標楷體" w:hint="eastAsia"/>
        </w:rPr>
        <w:t>之要求仍多沿用上揭61年之判例為依歸，僅多就「請求之標</w:t>
      </w:r>
      <w:proofErr w:type="gramStart"/>
      <w:r w:rsidR="00BB4F62" w:rsidRPr="00F27425">
        <w:rPr>
          <w:rFonts w:ascii="標楷體" w:eastAsia="標楷體" w:hAnsi="標楷體" w:hint="eastAsia"/>
        </w:rPr>
        <w:t>的並其數量</w:t>
      </w:r>
      <w:proofErr w:type="gramEnd"/>
      <w:r w:rsidR="00BB4F62" w:rsidRPr="00F27425">
        <w:rPr>
          <w:rFonts w:ascii="標楷體" w:eastAsia="標楷體" w:hAnsi="標楷體" w:hint="eastAsia"/>
        </w:rPr>
        <w:t>及請求之原因」為判斷依據。</w:t>
      </w:r>
    </w:p>
    <w:p w14:paraId="564999C9" w14:textId="77777777" w:rsidR="00EC52FC" w:rsidRPr="00F27425" w:rsidRDefault="00EC52FC" w:rsidP="007A4DCC">
      <w:pPr>
        <w:pStyle w:val="HTML"/>
        <w:shd w:val="clear" w:color="auto" w:fill="FFFFFF"/>
        <w:spacing w:line="360" w:lineRule="atLeast"/>
        <w:jc w:val="both"/>
        <w:rPr>
          <w:rFonts w:ascii="標楷體" w:eastAsia="標楷體" w:hAnsi="標楷體"/>
        </w:rPr>
      </w:pPr>
    </w:p>
    <w:p w14:paraId="609D8889" w14:textId="77777777" w:rsidR="00EC52FC" w:rsidRPr="00F27425" w:rsidRDefault="00EC52FC" w:rsidP="007A4DCC">
      <w:pPr>
        <w:pStyle w:val="HTML"/>
        <w:numPr>
          <w:ilvl w:val="0"/>
          <w:numId w:val="23"/>
        </w:numPr>
        <w:shd w:val="clear" w:color="auto" w:fill="FFFFFF"/>
        <w:spacing w:line="360" w:lineRule="atLeast"/>
        <w:jc w:val="both"/>
        <w:rPr>
          <w:rFonts w:ascii="標楷體" w:eastAsia="標楷體" w:hAnsi="標楷體"/>
        </w:rPr>
      </w:pPr>
      <w:proofErr w:type="gramStart"/>
      <w:r w:rsidRPr="00F27425">
        <w:rPr>
          <w:rFonts w:ascii="標楷體" w:eastAsia="標楷體" w:hAnsi="標楷體" w:hint="eastAsia"/>
          <w:shd w:val="clear" w:color="auto" w:fill="FFFFFF"/>
        </w:rPr>
        <w:t>臺</w:t>
      </w:r>
      <w:proofErr w:type="gramEnd"/>
      <w:r w:rsidRPr="00F27425">
        <w:rPr>
          <w:rFonts w:ascii="標楷體" w:eastAsia="標楷體" w:hAnsi="標楷體" w:hint="eastAsia"/>
          <w:shd w:val="clear" w:color="auto" w:fill="FFFFFF"/>
        </w:rPr>
        <w:t>中地方法院</w:t>
      </w:r>
      <w:proofErr w:type="gramStart"/>
      <w:r w:rsidRPr="00F27425">
        <w:rPr>
          <w:rFonts w:ascii="標楷體" w:eastAsia="標楷體" w:hAnsi="標楷體" w:hint="eastAsia"/>
          <w:shd w:val="clear" w:color="auto" w:fill="FFFFFF"/>
        </w:rPr>
        <w:t>107</w:t>
      </w:r>
      <w:proofErr w:type="gramEnd"/>
      <w:r w:rsidRPr="00F27425">
        <w:rPr>
          <w:rFonts w:ascii="標楷體" w:eastAsia="標楷體" w:hAnsi="標楷體" w:hint="eastAsia"/>
          <w:shd w:val="clear" w:color="auto" w:fill="FFFFFF"/>
        </w:rPr>
        <w:t>年度</w:t>
      </w:r>
      <w:proofErr w:type="gramStart"/>
      <w:r w:rsidRPr="00F27425">
        <w:rPr>
          <w:rFonts w:ascii="標楷體" w:eastAsia="標楷體" w:hAnsi="標楷體" w:hint="eastAsia"/>
          <w:shd w:val="clear" w:color="auto" w:fill="FFFFFF"/>
        </w:rPr>
        <w:t>司促字</w:t>
      </w:r>
      <w:proofErr w:type="gramEnd"/>
      <w:r w:rsidRPr="00F27425">
        <w:rPr>
          <w:rFonts w:ascii="標楷體" w:eastAsia="標楷體" w:hAnsi="標楷體" w:hint="eastAsia"/>
          <w:shd w:val="clear" w:color="auto" w:fill="FFFFFF"/>
        </w:rPr>
        <w:t>第 25114 號民事裁定之理由「</w:t>
      </w:r>
      <w:proofErr w:type="gramStart"/>
      <w:r w:rsidRPr="00F27425">
        <w:rPr>
          <w:rFonts w:ascii="標楷體" w:eastAsia="標楷體" w:hAnsi="標楷體" w:hint="eastAsia"/>
        </w:rPr>
        <w:t>惟查</w:t>
      </w:r>
      <w:proofErr w:type="gramEnd"/>
      <w:r w:rsidRPr="00F27425">
        <w:rPr>
          <w:rFonts w:ascii="標楷體" w:eastAsia="標楷體" w:hAnsi="標楷體" w:hint="eastAsia"/>
        </w:rPr>
        <w:t>，</w:t>
      </w:r>
      <w:r w:rsidRPr="00F27425">
        <w:rPr>
          <w:rFonts w:ascii="標楷體" w:eastAsia="標楷體" w:hAnsi="標楷體" w:hint="eastAsia"/>
          <w:b/>
          <w:i/>
          <w:u w:val="single"/>
        </w:rPr>
        <w:t>債權人聲請時未提出完整證據資料</w:t>
      </w:r>
      <w:proofErr w:type="gramStart"/>
      <w:r w:rsidRPr="00F27425">
        <w:rPr>
          <w:rFonts w:ascii="標楷體" w:eastAsia="標楷體" w:hAnsi="標楷體" w:hint="eastAsia"/>
          <w:b/>
          <w:i/>
          <w:u w:val="single"/>
          <w:bdr w:val="none" w:sz="0" w:space="0" w:color="auto" w:frame="1"/>
        </w:rPr>
        <w:t>釋明</w:t>
      </w:r>
      <w:r w:rsidRPr="00F27425">
        <w:rPr>
          <w:rFonts w:ascii="標楷體" w:eastAsia="標楷體" w:hAnsi="標楷體" w:hint="eastAsia"/>
          <w:b/>
          <w:i/>
          <w:u w:val="single"/>
        </w:rPr>
        <w:t>本</w:t>
      </w:r>
      <w:proofErr w:type="gramEnd"/>
      <w:r w:rsidRPr="00F27425">
        <w:rPr>
          <w:rFonts w:ascii="標楷體" w:eastAsia="標楷體" w:hAnsi="標楷體" w:hint="eastAsia"/>
          <w:b/>
          <w:i/>
          <w:u w:val="single"/>
        </w:rPr>
        <w:t>件請求</w:t>
      </w:r>
      <w:r w:rsidRPr="00F27425">
        <w:rPr>
          <w:rFonts w:ascii="標楷體" w:eastAsia="標楷體" w:hAnsi="標楷體" w:hint="eastAsia"/>
        </w:rPr>
        <w:t>，經本院於民國107年9月27日裁定命於5日內補正「</w:t>
      </w:r>
      <w:r w:rsidRPr="00F27425">
        <w:rPr>
          <w:rFonts w:ascii="標楷體" w:eastAsia="標楷體" w:hAnsi="標楷體" w:hint="eastAsia"/>
          <w:b/>
          <w:i/>
          <w:u w:val="single"/>
        </w:rPr>
        <w:t>具有債務人簽名或蓋章之土地租賃契約書影本，及提出違約金5,264元得據以請求利息之依據為何？</w:t>
      </w:r>
      <w:r w:rsidRPr="00F27425">
        <w:rPr>
          <w:rFonts w:ascii="標楷體" w:eastAsia="標楷體" w:hAnsi="標楷體" w:hint="eastAsia"/>
        </w:rPr>
        <w:t>」，此項裁定已於107年10月1日送達於債權人，有送達證書</w:t>
      </w:r>
      <w:proofErr w:type="gramStart"/>
      <w:r w:rsidRPr="00F27425">
        <w:rPr>
          <w:rFonts w:ascii="標楷體" w:eastAsia="標楷體" w:hAnsi="標楷體" w:hint="eastAsia"/>
        </w:rPr>
        <w:t>在卷可證</w:t>
      </w:r>
      <w:proofErr w:type="gramEnd"/>
      <w:r w:rsidRPr="00F27425">
        <w:rPr>
          <w:rFonts w:ascii="標楷體" w:eastAsia="標楷體" w:hAnsi="標楷體" w:hint="eastAsia"/>
        </w:rPr>
        <w:t>。債權人逾期迄未補正，其</w:t>
      </w:r>
      <w:proofErr w:type="gramStart"/>
      <w:r w:rsidRPr="00F27425">
        <w:rPr>
          <w:rFonts w:ascii="標楷體" w:eastAsia="標楷體" w:hAnsi="標楷體" w:hint="eastAsia"/>
        </w:rPr>
        <w:t>聲請難認為</w:t>
      </w:r>
      <w:proofErr w:type="gramEnd"/>
      <w:r w:rsidRPr="00F27425">
        <w:rPr>
          <w:rFonts w:ascii="標楷體" w:eastAsia="標楷體" w:hAnsi="標楷體" w:hint="eastAsia"/>
        </w:rPr>
        <w:t>合法，應予駁回。</w:t>
      </w:r>
      <w:r w:rsidRPr="00F27425">
        <w:rPr>
          <w:rFonts w:ascii="標楷體" w:eastAsia="標楷體" w:hAnsi="標楷體" w:hint="eastAsia"/>
          <w:shd w:val="clear" w:color="auto" w:fill="FFFFFF"/>
        </w:rPr>
        <w:t>」</w:t>
      </w:r>
    </w:p>
    <w:p w14:paraId="168BEBC7" w14:textId="25F8EFD8" w:rsidR="00EC52FC" w:rsidRPr="00F27425" w:rsidRDefault="00C53940" w:rsidP="007A4DCC">
      <w:pPr>
        <w:pStyle w:val="a3"/>
        <w:numPr>
          <w:ilvl w:val="0"/>
          <w:numId w:val="23"/>
        </w:numPr>
        <w:ind w:leftChars="0"/>
        <w:jc w:val="both"/>
        <w:rPr>
          <w:rFonts w:ascii="標楷體" w:eastAsia="標楷體" w:hAnsi="標楷體"/>
          <w:szCs w:val="24"/>
        </w:rPr>
      </w:pPr>
      <w:r w:rsidRPr="00F27425">
        <w:rPr>
          <w:rFonts w:ascii="標楷體" w:eastAsia="標楷體" w:hAnsi="標楷體" w:hint="eastAsia"/>
          <w:szCs w:val="24"/>
          <w:shd w:val="clear" w:color="auto" w:fill="FFFFFF"/>
        </w:rPr>
        <w:t>新北地方法院 107 年度</w:t>
      </w:r>
      <w:proofErr w:type="gramStart"/>
      <w:r w:rsidRPr="00F27425">
        <w:rPr>
          <w:rFonts w:ascii="標楷體" w:eastAsia="標楷體" w:hAnsi="標楷體" w:hint="eastAsia"/>
          <w:szCs w:val="24"/>
          <w:shd w:val="clear" w:color="auto" w:fill="FFFFFF"/>
        </w:rPr>
        <w:t>司促字</w:t>
      </w:r>
      <w:proofErr w:type="gramEnd"/>
      <w:r w:rsidRPr="00F27425">
        <w:rPr>
          <w:rFonts w:ascii="標楷體" w:eastAsia="標楷體" w:hAnsi="標楷體" w:hint="eastAsia"/>
          <w:szCs w:val="24"/>
          <w:shd w:val="clear" w:color="auto" w:fill="FFFFFF"/>
        </w:rPr>
        <w:t>第18732 號民事裁定之理由</w:t>
      </w:r>
      <w:r w:rsidRPr="00F27425">
        <w:rPr>
          <w:rFonts w:ascii="標楷體" w:eastAsia="標楷體" w:hAnsi="標楷體" w:hint="eastAsia"/>
          <w:szCs w:val="24"/>
        </w:rPr>
        <w:t>「查本件債權人聲請對債務人發給支付命令事件，經本院於民國107年7月17日裁定命債權人於5 日內補正：「一、本件</w:t>
      </w:r>
      <w:r w:rsidRPr="00F27425">
        <w:rPr>
          <w:rFonts w:ascii="標楷體" w:eastAsia="標楷體" w:hAnsi="標楷體" w:hint="eastAsia"/>
          <w:b/>
          <w:i/>
          <w:szCs w:val="24"/>
          <w:u w:val="single"/>
        </w:rPr>
        <w:t>請求以年利率百分之六計算利息之依據</w:t>
      </w:r>
      <w:r w:rsidRPr="00F27425">
        <w:rPr>
          <w:rFonts w:ascii="標楷體" w:eastAsia="標楷體" w:hAnsi="標楷體" w:hint="eastAsia"/>
          <w:szCs w:val="24"/>
          <w:u w:val="single"/>
        </w:rPr>
        <w:t>。二、</w:t>
      </w:r>
      <w:r w:rsidRPr="00F27425">
        <w:rPr>
          <w:rFonts w:ascii="標楷體" w:eastAsia="標楷體" w:hAnsi="標楷體" w:hint="eastAsia"/>
          <w:b/>
          <w:i/>
          <w:szCs w:val="24"/>
          <w:u w:val="single"/>
        </w:rPr>
        <w:t>債務人之最新戶籍謄本</w:t>
      </w:r>
      <w:r w:rsidR="005F2EC9">
        <w:rPr>
          <w:rFonts w:ascii="標楷體" w:eastAsia="標楷體" w:hAnsi="標楷體" w:hint="eastAsia"/>
          <w:szCs w:val="24"/>
        </w:rPr>
        <w:t>(</w:t>
      </w:r>
      <w:proofErr w:type="gramStart"/>
      <w:r w:rsidRPr="00F27425">
        <w:rPr>
          <w:rFonts w:ascii="標楷體" w:eastAsia="標楷體" w:hAnsi="標楷體" w:hint="eastAsia"/>
          <w:szCs w:val="24"/>
        </w:rPr>
        <w:t>記事欄勿省略</w:t>
      </w:r>
      <w:proofErr w:type="gramEnd"/>
      <w:r w:rsidRPr="00F27425">
        <w:rPr>
          <w:rFonts w:ascii="標楷體" w:eastAsia="標楷體" w:hAnsi="標楷體" w:hint="eastAsia"/>
          <w:szCs w:val="24"/>
        </w:rPr>
        <w:t>) 。」，債權人已於107 年8 月5 日 收受該裁定，有送達證書附卷可</w:t>
      </w:r>
      <w:proofErr w:type="gramStart"/>
      <w:r w:rsidRPr="00F27425">
        <w:rPr>
          <w:rFonts w:ascii="標楷體" w:eastAsia="標楷體" w:hAnsi="標楷體" w:hint="eastAsia"/>
          <w:szCs w:val="24"/>
        </w:rPr>
        <w:t>稽</w:t>
      </w:r>
      <w:proofErr w:type="gramEnd"/>
      <w:r w:rsidRPr="00F27425">
        <w:rPr>
          <w:rFonts w:ascii="標楷體" w:eastAsia="標楷體" w:hAnsi="標楷體" w:hint="eastAsia"/>
          <w:szCs w:val="24"/>
        </w:rPr>
        <w:t>，迄未補正，其</w:t>
      </w:r>
      <w:r w:rsidRPr="00F27425">
        <w:rPr>
          <w:rFonts w:ascii="標楷體" w:eastAsia="標楷體" w:hAnsi="標楷體" w:hint="eastAsia"/>
          <w:b/>
          <w:i/>
          <w:szCs w:val="24"/>
          <w:u w:val="single"/>
        </w:rPr>
        <w:t>未盡</w:t>
      </w:r>
      <w:proofErr w:type="gramStart"/>
      <w:r w:rsidRPr="00F27425">
        <w:rPr>
          <w:rFonts w:ascii="標楷體" w:eastAsia="標楷體" w:hAnsi="標楷體" w:hint="eastAsia"/>
          <w:b/>
          <w:i/>
          <w:szCs w:val="24"/>
          <w:u w:val="single"/>
        </w:rPr>
        <w:t>釋明之責甚</w:t>
      </w:r>
      <w:proofErr w:type="gramEnd"/>
      <w:r w:rsidRPr="00F27425">
        <w:rPr>
          <w:rFonts w:ascii="標楷體" w:eastAsia="標楷體" w:hAnsi="標楷體" w:hint="eastAsia"/>
          <w:b/>
          <w:i/>
          <w:szCs w:val="24"/>
          <w:u w:val="single"/>
        </w:rPr>
        <w:t>明</w:t>
      </w:r>
      <w:r w:rsidRPr="00F27425">
        <w:rPr>
          <w:rFonts w:ascii="標楷體" w:eastAsia="標楷體" w:hAnsi="標楷體" w:hint="eastAsia"/>
          <w:szCs w:val="24"/>
        </w:rPr>
        <w:t>，</w:t>
      </w:r>
      <w:proofErr w:type="gramStart"/>
      <w:r w:rsidRPr="00F27425">
        <w:rPr>
          <w:rFonts w:ascii="標楷體" w:eastAsia="標楷體" w:hAnsi="標楷體" w:hint="eastAsia"/>
          <w:szCs w:val="24"/>
        </w:rPr>
        <w:t>揆</w:t>
      </w:r>
      <w:proofErr w:type="gramEnd"/>
      <w:r w:rsidRPr="00F27425">
        <w:rPr>
          <w:rFonts w:ascii="標楷體" w:eastAsia="標楷體" w:hAnsi="標楷體" w:hint="eastAsia"/>
          <w:szCs w:val="24"/>
        </w:rPr>
        <w:t>諸上開說明，應</w:t>
      </w:r>
      <w:r w:rsidRPr="00F27425">
        <w:rPr>
          <w:rFonts w:ascii="標楷體" w:eastAsia="標楷體" w:hAnsi="標楷體" w:hint="eastAsia"/>
          <w:b/>
          <w:i/>
          <w:szCs w:val="24"/>
          <w:u w:val="single"/>
        </w:rPr>
        <w:t>駁回其聲請</w:t>
      </w:r>
      <w:r w:rsidRPr="00F27425">
        <w:rPr>
          <w:rFonts w:ascii="標楷體" w:eastAsia="標楷體" w:hAnsi="標楷體" w:hint="eastAsia"/>
          <w:szCs w:val="24"/>
        </w:rPr>
        <w:t>，</w:t>
      </w:r>
      <w:proofErr w:type="gramStart"/>
      <w:r w:rsidRPr="00F27425">
        <w:rPr>
          <w:rFonts w:ascii="標楷體" w:eastAsia="標楷體" w:hAnsi="標楷體" w:hint="eastAsia"/>
          <w:szCs w:val="24"/>
        </w:rPr>
        <w:t>爰</w:t>
      </w:r>
      <w:proofErr w:type="gramEnd"/>
      <w:r w:rsidRPr="00F27425">
        <w:rPr>
          <w:rFonts w:ascii="標楷體" w:eastAsia="標楷體" w:hAnsi="標楷體" w:hint="eastAsia"/>
          <w:szCs w:val="24"/>
        </w:rPr>
        <w:t>依</w:t>
      </w:r>
      <w:hyperlink r:id="rId11" w:tgtFrame="_blank" w:history="1">
        <w:r w:rsidRPr="00F27425">
          <w:rPr>
            <w:rStyle w:val="ab"/>
            <w:rFonts w:ascii="標楷體" w:eastAsia="標楷體" w:hAnsi="標楷體" w:hint="eastAsia"/>
            <w:color w:val="auto"/>
            <w:szCs w:val="24"/>
            <w:u w:val="none"/>
          </w:rPr>
          <w:t>民事訴訟法</w:t>
        </w:r>
      </w:hyperlink>
      <w:hyperlink r:id="rId12" w:tgtFrame="_blank" w:history="1">
        <w:r w:rsidRPr="00F27425">
          <w:rPr>
            <w:rStyle w:val="ab"/>
            <w:rFonts w:ascii="標楷體" w:eastAsia="標楷體" w:hAnsi="標楷體" w:hint="eastAsia"/>
            <w:color w:val="auto"/>
            <w:szCs w:val="24"/>
            <w:u w:val="none"/>
          </w:rPr>
          <w:t>第513</w:t>
        </w:r>
      </w:hyperlink>
      <w:r w:rsidRPr="00F27425">
        <w:rPr>
          <w:rFonts w:ascii="標楷體" w:eastAsia="標楷體" w:hAnsi="標楷體" w:hint="eastAsia"/>
          <w:szCs w:val="24"/>
        </w:rPr>
        <w:t xml:space="preserve"> 條第1 項前段、第95條、第78條裁定如主文。」</w:t>
      </w:r>
    </w:p>
    <w:p w14:paraId="10E0FC60" w14:textId="77777777" w:rsidR="00C53940" w:rsidRPr="00F27425" w:rsidRDefault="00BB4F62" w:rsidP="007A4DCC">
      <w:pPr>
        <w:pStyle w:val="a3"/>
        <w:numPr>
          <w:ilvl w:val="0"/>
          <w:numId w:val="23"/>
        </w:numPr>
        <w:ind w:leftChars="0"/>
        <w:jc w:val="both"/>
        <w:rPr>
          <w:rFonts w:ascii="標楷體" w:eastAsia="標楷體" w:hAnsi="標楷體"/>
          <w:szCs w:val="24"/>
        </w:rPr>
      </w:pPr>
      <w:r w:rsidRPr="00F27425">
        <w:rPr>
          <w:rFonts w:ascii="標楷體" w:eastAsia="標楷體" w:hAnsi="標楷體" w:hint="eastAsia"/>
          <w:szCs w:val="24"/>
          <w:shd w:val="clear" w:color="auto" w:fill="FFFFFF"/>
        </w:rPr>
        <w:t>臺灣台北地方法院 107 年度</w:t>
      </w:r>
      <w:proofErr w:type="gramStart"/>
      <w:r w:rsidRPr="00F27425">
        <w:rPr>
          <w:rFonts w:ascii="標楷體" w:eastAsia="標楷體" w:hAnsi="標楷體" w:hint="eastAsia"/>
          <w:szCs w:val="24"/>
          <w:shd w:val="clear" w:color="auto" w:fill="FFFFFF"/>
        </w:rPr>
        <w:t>司促字</w:t>
      </w:r>
      <w:proofErr w:type="gramEnd"/>
      <w:r w:rsidRPr="00F27425">
        <w:rPr>
          <w:rFonts w:ascii="標楷體" w:eastAsia="標楷體" w:hAnsi="標楷體" w:hint="eastAsia"/>
          <w:szCs w:val="24"/>
          <w:shd w:val="clear" w:color="auto" w:fill="FFFFFF"/>
        </w:rPr>
        <w:t>第 16481 號民事其他裁判書理由：</w:t>
      </w:r>
    </w:p>
    <w:p w14:paraId="223EA281" w14:textId="77777777" w:rsidR="00BB4F62" w:rsidRPr="00F27425" w:rsidRDefault="00BB4F62" w:rsidP="007A4DCC">
      <w:pPr>
        <w:ind w:leftChars="200" w:left="480"/>
        <w:jc w:val="both"/>
        <w:rPr>
          <w:rFonts w:ascii="標楷體" w:eastAsia="標楷體" w:hAnsi="標楷體"/>
          <w:szCs w:val="24"/>
        </w:rPr>
      </w:pPr>
      <w:r w:rsidRPr="00F27425">
        <w:rPr>
          <w:rFonts w:ascii="標楷體" w:eastAsia="標楷體" w:hAnsi="標楷體" w:hint="eastAsia"/>
          <w:szCs w:val="24"/>
        </w:rPr>
        <w:t>「</w:t>
      </w:r>
      <w:r w:rsidRPr="00F27425">
        <w:rPr>
          <w:rFonts w:ascii="標楷體" w:eastAsia="標楷體" w:hAnsi="標楷體" w:hint="eastAsia"/>
          <w:b/>
          <w:i/>
          <w:szCs w:val="24"/>
          <w:u w:val="single"/>
        </w:rPr>
        <w:t>按支付命令之聲請，應表明請求之原因事實</w:t>
      </w:r>
      <w:r w:rsidRPr="00F27425">
        <w:rPr>
          <w:rFonts w:ascii="標楷體" w:eastAsia="標楷體" w:hAnsi="標楷體" w:hint="eastAsia"/>
          <w:szCs w:val="24"/>
        </w:rPr>
        <w:t>，</w:t>
      </w:r>
      <w:hyperlink r:id="rId13" w:tgtFrame="_blank" w:history="1">
        <w:r w:rsidRPr="00F27425">
          <w:rPr>
            <w:rStyle w:val="ab"/>
            <w:rFonts w:ascii="標楷體" w:eastAsia="標楷體" w:hAnsi="標楷體" w:hint="eastAsia"/>
            <w:color w:val="auto"/>
            <w:szCs w:val="24"/>
            <w:u w:val="none"/>
          </w:rPr>
          <w:t>民事訴訟法第511</w:t>
        </w:r>
      </w:hyperlink>
      <w:r w:rsidRPr="00F27425">
        <w:rPr>
          <w:rFonts w:ascii="標楷體" w:eastAsia="標楷體" w:hAnsi="標楷體" w:hint="eastAsia"/>
          <w:szCs w:val="24"/>
        </w:rPr>
        <w:t>條第1項第3款定有明文。</w:t>
      </w:r>
      <w:r w:rsidRPr="00F27425">
        <w:rPr>
          <w:rFonts w:ascii="標楷體" w:eastAsia="標楷體" w:hAnsi="標楷體" w:hint="eastAsia"/>
          <w:b/>
          <w:i/>
          <w:szCs w:val="24"/>
          <w:u w:val="single"/>
        </w:rPr>
        <w:t>本件債權人請求債務人應清償其他費用乙節，其費用名稱及計算方式等請求原因事實不明，該部分聲請不合法，應予駁回</w:t>
      </w:r>
      <w:r w:rsidRPr="00F27425">
        <w:rPr>
          <w:rFonts w:ascii="標楷體" w:eastAsia="標楷體" w:hAnsi="標楷體" w:hint="eastAsia"/>
          <w:szCs w:val="24"/>
        </w:rPr>
        <w:t>。」</w:t>
      </w:r>
    </w:p>
    <w:p w14:paraId="57ECE81B" w14:textId="77777777" w:rsidR="00BB4F62" w:rsidRPr="00F27425" w:rsidRDefault="00BB4F62" w:rsidP="007A4DCC">
      <w:pPr>
        <w:jc w:val="both"/>
        <w:rPr>
          <w:rFonts w:ascii="標楷體" w:eastAsia="標楷體" w:hAnsi="標楷體"/>
          <w:szCs w:val="24"/>
        </w:rPr>
      </w:pPr>
    </w:p>
    <w:p w14:paraId="36914B52" w14:textId="77777777" w:rsidR="00C67AF9" w:rsidRPr="00F27425" w:rsidRDefault="00C67AF9" w:rsidP="007A4DCC">
      <w:pPr>
        <w:jc w:val="both"/>
        <w:rPr>
          <w:rFonts w:ascii="標楷體" w:eastAsia="標楷體" w:hAnsi="標楷體"/>
          <w:szCs w:val="24"/>
        </w:rPr>
      </w:pPr>
    </w:p>
    <w:p w14:paraId="7F0357C3" w14:textId="77777777" w:rsidR="00AA4E66" w:rsidRPr="00F27425" w:rsidRDefault="00AA4E66" w:rsidP="00BD343C">
      <w:pPr>
        <w:pStyle w:val="a3"/>
        <w:numPr>
          <w:ilvl w:val="0"/>
          <w:numId w:val="42"/>
        </w:numPr>
        <w:ind w:leftChars="0"/>
        <w:jc w:val="both"/>
        <w:rPr>
          <w:rFonts w:ascii="標楷體" w:eastAsia="標楷體" w:hAnsi="標楷體"/>
          <w:szCs w:val="24"/>
        </w:rPr>
      </w:pPr>
      <w:r w:rsidRPr="00F27425">
        <w:rPr>
          <w:rFonts w:ascii="標楷體" w:eastAsia="標楷體" w:hAnsi="標楷體" w:hint="eastAsia"/>
          <w:szCs w:val="24"/>
        </w:rPr>
        <w:t>小結</w:t>
      </w:r>
    </w:p>
    <w:p w14:paraId="3E4ABEEA" w14:textId="2208C1C7" w:rsidR="000712F5" w:rsidRPr="00F27425" w:rsidRDefault="00A37817" w:rsidP="00D42A60">
      <w:pPr>
        <w:pStyle w:val="a3"/>
        <w:ind w:leftChars="0" w:firstLineChars="200" w:firstLine="480"/>
        <w:jc w:val="both"/>
        <w:rPr>
          <w:rFonts w:ascii="標楷體" w:eastAsia="標楷體" w:hAnsi="標楷體"/>
          <w:szCs w:val="24"/>
        </w:rPr>
      </w:pPr>
      <w:r w:rsidRPr="00F27425">
        <w:rPr>
          <w:rFonts w:ascii="標楷體" w:eastAsia="標楷體" w:hAnsi="標楷體" w:hint="eastAsia"/>
          <w:szCs w:val="24"/>
        </w:rPr>
        <w:t>綜上所述，與修法前</w:t>
      </w:r>
      <w:proofErr w:type="gramStart"/>
      <w:r w:rsidRPr="00F27425">
        <w:rPr>
          <w:rFonts w:ascii="標楷體" w:eastAsia="標楷體" w:hAnsi="標楷體" w:hint="eastAsia"/>
          <w:szCs w:val="24"/>
        </w:rPr>
        <w:t>之釋明義務</w:t>
      </w:r>
      <w:proofErr w:type="gramEnd"/>
      <w:r w:rsidRPr="00F27425">
        <w:rPr>
          <w:rFonts w:ascii="標楷體" w:eastAsia="標楷體" w:hAnsi="標楷體" w:hint="eastAsia"/>
          <w:szCs w:val="24"/>
        </w:rPr>
        <w:t>相比，</w:t>
      </w:r>
      <w:r w:rsidR="00BA1F34" w:rsidRPr="00F27425">
        <w:rPr>
          <w:rFonts w:ascii="標楷體" w:eastAsia="標楷體" w:hAnsi="標楷體" w:hint="eastAsia"/>
          <w:szCs w:val="24"/>
        </w:rPr>
        <w:t>修法後法院實務運作上有為強化債權人</w:t>
      </w:r>
      <w:proofErr w:type="gramStart"/>
      <w:r w:rsidR="00BA1F34" w:rsidRPr="00F27425">
        <w:rPr>
          <w:rFonts w:ascii="標楷體" w:eastAsia="標楷體" w:hAnsi="標楷體" w:hint="eastAsia"/>
          <w:szCs w:val="24"/>
        </w:rPr>
        <w:t>之釋明義務</w:t>
      </w:r>
      <w:proofErr w:type="gramEnd"/>
      <w:r w:rsidR="00BA1F34" w:rsidRPr="00F27425">
        <w:rPr>
          <w:rFonts w:ascii="標楷體" w:eastAsia="標楷體" w:hAnsi="標楷體" w:hint="eastAsia"/>
          <w:szCs w:val="24"/>
        </w:rPr>
        <w:t>之效用</w:t>
      </w:r>
      <w:r w:rsidR="006A299E">
        <w:rPr>
          <w:rFonts w:ascii="標楷體" w:eastAsia="標楷體" w:hAnsi="標楷體" w:hint="eastAsia"/>
          <w:szCs w:val="24"/>
        </w:rPr>
        <w:t>，惟仍</w:t>
      </w:r>
      <w:proofErr w:type="gramStart"/>
      <w:r w:rsidR="006A299E">
        <w:rPr>
          <w:rFonts w:ascii="標楷體" w:eastAsia="標楷體" w:hAnsi="標楷體" w:hint="eastAsia"/>
          <w:szCs w:val="24"/>
        </w:rPr>
        <w:t>不難發見</w:t>
      </w:r>
      <w:r w:rsidRPr="00F27425">
        <w:rPr>
          <w:rFonts w:ascii="標楷體" w:eastAsia="標楷體" w:hAnsi="標楷體" w:hint="eastAsia"/>
          <w:szCs w:val="24"/>
        </w:rPr>
        <w:t>仍</w:t>
      </w:r>
      <w:proofErr w:type="gramEnd"/>
      <w:r w:rsidRPr="00F27425">
        <w:rPr>
          <w:rFonts w:ascii="標楷體" w:eastAsia="標楷體" w:hAnsi="標楷體" w:hint="eastAsia"/>
          <w:szCs w:val="24"/>
        </w:rPr>
        <w:t>有許多猶如上述所列裁定3之認定。</w:t>
      </w:r>
      <w:proofErr w:type="gramStart"/>
      <w:r w:rsidRPr="00F27425">
        <w:rPr>
          <w:rFonts w:ascii="標楷體" w:eastAsia="標楷體" w:hAnsi="標楷體" w:hint="eastAsia"/>
          <w:szCs w:val="24"/>
        </w:rPr>
        <w:t>爰</w:t>
      </w:r>
      <w:proofErr w:type="gramEnd"/>
      <w:r w:rsidRPr="00F27425">
        <w:rPr>
          <w:rFonts w:ascii="標楷體" w:eastAsia="標楷體" w:hAnsi="標楷體" w:hint="eastAsia"/>
          <w:szCs w:val="24"/>
        </w:rPr>
        <w:t>此。</w:t>
      </w:r>
      <w:r w:rsidR="00C01C80">
        <w:rPr>
          <w:rFonts w:ascii="標楷體" w:eastAsia="標楷體" w:hAnsi="標楷體" w:hint="eastAsia"/>
          <w:szCs w:val="24"/>
        </w:rPr>
        <w:t>本文</w:t>
      </w:r>
      <w:r w:rsidRPr="00F27425">
        <w:rPr>
          <w:rFonts w:ascii="標楷體" w:eastAsia="標楷體" w:hAnsi="標楷體" w:hint="eastAsia"/>
          <w:szCs w:val="24"/>
        </w:rPr>
        <w:t>以為此次所謂</w:t>
      </w:r>
      <w:proofErr w:type="gramStart"/>
      <w:r w:rsidRPr="00F27425">
        <w:rPr>
          <w:rFonts w:ascii="標楷體" w:eastAsia="標楷體" w:hAnsi="標楷體" w:hint="eastAsia"/>
          <w:szCs w:val="24"/>
        </w:rPr>
        <w:t>強化釋明義務</w:t>
      </w:r>
      <w:proofErr w:type="gramEnd"/>
      <w:r w:rsidRPr="00F27425">
        <w:rPr>
          <w:rFonts w:ascii="標楷體" w:eastAsia="標楷體" w:hAnsi="標楷體" w:hint="eastAsia"/>
          <w:szCs w:val="24"/>
        </w:rPr>
        <w:t>而多為增訂之民事訴訟法511條二項，並未有如立法者於立法理由所示之期望，</w:t>
      </w:r>
      <w:r w:rsidR="00C67AF9" w:rsidRPr="00F27425">
        <w:rPr>
          <w:rFonts w:ascii="標楷體" w:eastAsia="標楷體" w:hAnsi="標楷體" w:hint="eastAsia"/>
          <w:szCs w:val="24"/>
        </w:rPr>
        <w:t>與修法前之義務做出區隔，而有顯著的不同。進而言之，此次修法對於實務運作之影響並未為甚大之改變，法院多以支付命令聲請之要件為形式審查已矣。</w:t>
      </w:r>
    </w:p>
    <w:p w14:paraId="548AE036" w14:textId="77777777" w:rsidR="00682557" w:rsidRPr="00F27425" w:rsidRDefault="000712F5" w:rsidP="007A4DCC">
      <w:pPr>
        <w:widowControl/>
        <w:jc w:val="both"/>
        <w:rPr>
          <w:rFonts w:ascii="標楷體" w:eastAsia="標楷體" w:hAnsi="標楷體"/>
          <w:szCs w:val="24"/>
        </w:rPr>
      </w:pPr>
      <w:r w:rsidRPr="00F27425">
        <w:rPr>
          <w:rFonts w:ascii="標楷體" w:eastAsia="標楷體" w:hAnsi="標楷體"/>
          <w:szCs w:val="24"/>
        </w:rPr>
        <w:br w:type="page"/>
      </w:r>
    </w:p>
    <w:p w14:paraId="6EC86336" w14:textId="77777777" w:rsidR="000712F5" w:rsidRPr="00F27425" w:rsidRDefault="00E61D47" w:rsidP="00D26E5B">
      <w:pPr>
        <w:pStyle w:val="a3"/>
        <w:numPr>
          <w:ilvl w:val="0"/>
          <w:numId w:val="46"/>
        </w:numPr>
        <w:ind w:leftChars="0"/>
        <w:jc w:val="both"/>
        <w:rPr>
          <w:rFonts w:ascii="標楷體" w:eastAsia="標楷體" w:hAnsi="標楷體"/>
          <w:szCs w:val="24"/>
        </w:rPr>
      </w:pPr>
      <w:r w:rsidRPr="00F27425">
        <w:rPr>
          <w:rFonts w:ascii="標楷體" w:eastAsia="標楷體" w:hAnsi="標楷體" w:hint="eastAsia"/>
          <w:szCs w:val="24"/>
        </w:rPr>
        <w:lastRenderedPageBreak/>
        <w:t>(確定)</w:t>
      </w:r>
      <w:r w:rsidR="00C26D3F" w:rsidRPr="00F27425">
        <w:rPr>
          <w:rFonts w:ascii="標楷體" w:eastAsia="標楷體" w:hAnsi="標楷體" w:hint="eastAsia"/>
          <w:szCs w:val="24"/>
        </w:rPr>
        <w:t>支付命令之</w:t>
      </w:r>
      <w:r w:rsidR="004927BF" w:rsidRPr="00F27425">
        <w:rPr>
          <w:rFonts w:ascii="標楷體" w:eastAsia="標楷體" w:hAnsi="標楷體" w:hint="eastAsia"/>
          <w:szCs w:val="24"/>
        </w:rPr>
        <w:t>救濟</w:t>
      </w:r>
    </w:p>
    <w:p w14:paraId="18930887" w14:textId="77777777" w:rsidR="00E61D47" w:rsidRPr="00F27425" w:rsidRDefault="00E61D47" w:rsidP="007A4DCC">
      <w:pPr>
        <w:jc w:val="both"/>
        <w:rPr>
          <w:rFonts w:ascii="標楷體" w:eastAsia="標楷體" w:hAnsi="標楷體"/>
          <w:szCs w:val="24"/>
        </w:rPr>
      </w:pPr>
    </w:p>
    <w:p w14:paraId="5BBAEAE6" w14:textId="15333D86" w:rsidR="00E61D47" w:rsidRPr="00F27425" w:rsidRDefault="00D15092" w:rsidP="007A4DCC">
      <w:pPr>
        <w:widowControl/>
        <w:jc w:val="both"/>
        <w:rPr>
          <w:rFonts w:ascii="標楷體" w:eastAsia="標楷體" w:hAnsi="標楷體"/>
          <w:szCs w:val="24"/>
        </w:rPr>
      </w:pPr>
      <w:r w:rsidRPr="00F27425">
        <w:rPr>
          <w:rFonts w:ascii="標楷體" w:eastAsia="標楷體" w:hAnsi="標楷體" w:hint="eastAsia"/>
          <w:szCs w:val="24"/>
        </w:rPr>
        <w:t>督促程序於民國104年修法時，主要係針對於(確定)支付命令之效力認定以及後續救濟管道之調整。而(未確定)支付命令由於與修法前之意義程序並無異同。因此本章所欲探討之救濟方式將僅就(確定)支付命令限，</w:t>
      </w:r>
      <w:proofErr w:type="gramStart"/>
      <w:r w:rsidRPr="00F27425">
        <w:rPr>
          <w:rFonts w:ascii="標楷體" w:eastAsia="標楷體" w:hAnsi="標楷體" w:hint="eastAsia"/>
          <w:szCs w:val="24"/>
        </w:rPr>
        <w:t>合先敘</w:t>
      </w:r>
      <w:proofErr w:type="gramEnd"/>
      <w:r w:rsidRPr="00F27425">
        <w:rPr>
          <w:rFonts w:ascii="標楷體" w:eastAsia="標楷體" w:hAnsi="標楷體" w:hint="eastAsia"/>
          <w:szCs w:val="24"/>
        </w:rPr>
        <w:t>明。</w:t>
      </w:r>
      <w:r w:rsidRPr="00F27425">
        <w:rPr>
          <w:rFonts w:ascii="標楷體" w:eastAsia="標楷體" w:hAnsi="標楷體"/>
          <w:szCs w:val="24"/>
        </w:rPr>
        <w:t xml:space="preserve"> </w:t>
      </w:r>
    </w:p>
    <w:p w14:paraId="2CD25AD0" w14:textId="77777777" w:rsidR="00E61D47" w:rsidRPr="00F27425" w:rsidRDefault="00E61D47" w:rsidP="007A4DCC">
      <w:pPr>
        <w:widowControl/>
        <w:jc w:val="both"/>
        <w:rPr>
          <w:rFonts w:ascii="標楷體" w:eastAsia="標楷體" w:hAnsi="標楷體"/>
          <w:szCs w:val="24"/>
        </w:rPr>
      </w:pPr>
    </w:p>
    <w:p w14:paraId="1CF2AE90" w14:textId="77777777" w:rsidR="00E61D47" w:rsidRPr="00F27425" w:rsidRDefault="00E61D47" w:rsidP="007A4DCC">
      <w:pPr>
        <w:widowControl/>
        <w:jc w:val="both"/>
        <w:rPr>
          <w:rFonts w:ascii="標楷體" w:eastAsia="標楷體" w:hAnsi="標楷體"/>
          <w:szCs w:val="24"/>
        </w:rPr>
      </w:pPr>
    </w:p>
    <w:p w14:paraId="251F8B5A" w14:textId="77777777" w:rsidR="004927BF" w:rsidRPr="00F27425" w:rsidRDefault="00F02FE8" w:rsidP="007A4DCC">
      <w:pPr>
        <w:pStyle w:val="a3"/>
        <w:numPr>
          <w:ilvl w:val="0"/>
          <w:numId w:val="28"/>
        </w:numPr>
        <w:ind w:leftChars="0"/>
        <w:jc w:val="both"/>
        <w:rPr>
          <w:rFonts w:ascii="標楷體" w:eastAsia="標楷體" w:hAnsi="標楷體"/>
          <w:szCs w:val="24"/>
        </w:rPr>
      </w:pPr>
      <w:r w:rsidRPr="00F27425">
        <w:rPr>
          <w:rFonts w:ascii="標楷體" w:eastAsia="標楷體" w:hAnsi="標楷體" w:hint="eastAsia"/>
          <w:szCs w:val="24"/>
        </w:rPr>
        <w:t>修法前之(確定)支付命令救濟</w:t>
      </w:r>
    </w:p>
    <w:p w14:paraId="4631C8A6" w14:textId="1A403E97" w:rsidR="00E61D47" w:rsidRPr="00F27425" w:rsidRDefault="004927BF" w:rsidP="00D42A60">
      <w:pPr>
        <w:pStyle w:val="a3"/>
        <w:ind w:leftChars="0" w:firstLineChars="200" w:firstLine="480"/>
        <w:jc w:val="both"/>
        <w:rPr>
          <w:rFonts w:ascii="標楷體" w:eastAsia="標楷體" w:hAnsi="標楷體"/>
          <w:szCs w:val="24"/>
        </w:rPr>
      </w:pPr>
      <w:r w:rsidRPr="00F27425">
        <w:rPr>
          <w:rFonts w:ascii="標楷體" w:eastAsia="標楷體" w:hAnsi="標楷體" w:hint="eastAsia"/>
          <w:szCs w:val="24"/>
        </w:rPr>
        <w:t>舊法民事訴訟法</w:t>
      </w:r>
      <w:r w:rsidR="00864112" w:rsidRPr="00F27425">
        <w:rPr>
          <w:rFonts w:ascii="標楷體" w:eastAsia="標楷體" w:hAnsi="標楷體" w:hint="eastAsia"/>
          <w:szCs w:val="24"/>
        </w:rPr>
        <w:t>521</w:t>
      </w:r>
      <w:r w:rsidRPr="00F27425">
        <w:rPr>
          <w:rFonts w:ascii="標楷體" w:eastAsia="標楷體" w:hAnsi="標楷體" w:hint="eastAsia"/>
          <w:szCs w:val="24"/>
        </w:rPr>
        <w:t>條明文：「債務人對於支付命令未於法定期間合法提出異議者，支付命令與確定判決有同一之效力。前項支付命令有第四百九十六條第一項之情形者，得提起再審之訴，並以原支付命令之聲請，視為起訴。」</w:t>
      </w:r>
      <w:proofErr w:type="gramStart"/>
      <w:r w:rsidRPr="00F27425">
        <w:rPr>
          <w:rFonts w:ascii="標楷體" w:eastAsia="標楷體" w:hAnsi="標楷體" w:hint="eastAsia"/>
          <w:szCs w:val="24"/>
        </w:rPr>
        <w:t>爰</w:t>
      </w:r>
      <w:proofErr w:type="gramEnd"/>
      <w:r w:rsidRPr="00F27425">
        <w:rPr>
          <w:rFonts w:ascii="標楷體" w:eastAsia="標楷體" w:hAnsi="標楷體" w:hint="eastAsia"/>
          <w:szCs w:val="24"/>
        </w:rPr>
        <w:t>此，債務人若未於不便期間內向法院提出異議，亦或是提出後又為撤回，該支付命令</w:t>
      </w:r>
      <w:proofErr w:type="gramStart"/>
      <w:r w:rsidRPr="00F27425">
        <w:rPr>
          <w:rFonts w:ascii="標楷體" w:eastAsia="標楷體" w:hAnsi="標楷體" w:hint="eastAsia"/>
          <w:szCs w:val="24"/>
        </w:rPr>
        <w:t>則始生</w:t>
      </w:r>
      <w:proofErr w:type="gramEnd"/>
      <w:r w:rsidRPr="00F27425">
        <w:rPr>
          <w:rFonts w:ascii="標楷體" w:eastAsia="標楷體" w:hAnsi="標楷體" w:hint="eastAsia"/>
          <w:szCs w:val="24"/>
        </w:rPr>
        <w:t>確定而生與確定判決同一之效力。確定判決主要效力(內部)</w:t>
      </w:r>
      <w:proofErr w:type="gramStart"/>
      <w:r w:rsidRPr="00F27425">
        <w:rPr>
          <w:rFonts w:ascii="標楷體" w:eastAsia="標楷體" w:hAnsi="標楷體" w:hint="eastAsia"/>
          <w:szCs w:val="24"/>
        </w:rPr>
        <w:t>羈束力、既判力</w:t>
      </w:r>
      <w:proofErr w:type="gramEnd"/>
      <w:r w:rsidRPr="00F27425">
        <w:rPr>
          <w:rFonts w:ascii="標楷體" w:eastAsia="標楷體" w:hAnsi="標楷體" w:hint="eastAsia"/>
          <w:szCs w:val="24"/>
        </w:rPr>
        <w:t>(實質確定力)</w:t>
      </w:r>
      <w:r w:rsidR="00786C76" w:rsidRPr="00F27425">
        <w:rPr>
          <w:rFonts w:ascii="標楷體" w:eastAsia="標楷體" w:hAnsi="標楷體" w:hint="eastAsia"/>
          <w:szCs w:val="24"/>
        </w:rPr>
        <w:t>、形成力與執行力。因</w:t>
      </w:r>
      <w:r w:rsidRPr="00F27425">
        <w:rPr>
          <w:rFonts w:ascii="標楷體" w:eastAsia="標楷體" w:hAnsi="標楷體" w:hint="eastAsia"/>
          <w:szCs w:val="24"/>
        </w:rPr>
        <w:t>支付命令是命債務人對債權人給付一定數量的金錢或其他替代物或有價證券，內容上與給付判決類似，所以確定的支付命令是與確定給付判決有同一效力</w:t>
      </w:r>
      <w:r w:rsidRPr="00F27425">
        <w:rPr>
          <w:rStyle w:val="a6"/>
          <w:rFonts w:ascii="標楷體" w:eastAsia="標楷體" w:hAnsi="標楷體"/>
          <w:szCs w:val="24"/>
        </w:rPr>
        <w:footnoteReference w:id="8"/>
      </w:r>
      <w:r w:rsidRPr="00F27425">
        <w:rPr>
          <w:rFonts w:ascii="標楷體" w:eastAsia="標楷體" w:hAnsi="標楷體" w:hint="eastAsia"/>
          <w:szCs w:val="24"/>
        </w:rPr>
        <w:t>。</w:t>
      </w:r>
    </w:p>
    <w:p w14:paraId="7EEB50AF" w14:textId="77777777" w:rsidR="00F02FE8" w:rsidRPr="00F27425" w:rsidRDefault="00F02FE8" w:rsidP="007A4DCC">
      <w:pPr>
        <w:pStyle w:val="a3"/>
        <w:ind w:leftChars="0"/>
        <w:jc w:val="both"/>
        <w:rPr>
          <w:rFonts w:ascii="標楷體" w:eastAsia="標楷體" w:hAnsi="標楷體"/>
          <w:szCs w:val="24"/>
        </w:rPr>
      </w:pPr>
    </w:p>
    <w:p w14:paraId="24833540" w14:textId="49D88840" w:rsidR="00BF1E3D" w:rsidRPr="00F27425" w:rsidRDefault="00F02FE8" w:rsidP="00D42A60">
      <w:pPr>
        <w:widowControl/>
        <w:ind w:leftChars="200" w:left="480" w:firstLineChars="200" w:firstLine="480"/>
        <w:jc w:val="both"/>
        <w:rPr>
          <w:rFonts w:ascii="標楷體" w:eastAsia="標楷體" w:hAnsi="標楷體" w:cs="細明體"/>
          <w:kern w:val="0"/>
          <w:szCs w:val="24"/>
        </w:rPr>
      </w:pPr>
      <w:r w:rsidRPr="00F27425">
        <w:rPr>
          <w:rFonts w:ascii="標楷體" w:eastAsia="標楷體" w:hAnsi="標楷體" w:hint="eastAsia"/>
          <w:szCs w:val="24"/>
        </w:rPr>
        <w:t>查</w:t>
      </w:r>
      <w:r w:rsidRPr="00F27425">
        <w:rPr>
          <w:rFonts w:ascii="標楷體" w:eastAsia="標楷體" w:hAnsi="標楷體" w:cs="Times New Roman" w:hint="eastAsia"/>
          <w:kern w:val="0"/>
          <w:szCs w:val="24"/>
        </w:rPr>
        <w:t>最高法院</w:t>
      </w:r>
      <w:r w:rsidRPr="00F27425">
        <w:rPr>
          <w:rFonts w:ascii="標楷體" w:eastAsia="標楷體" w:hAnsi="標楷體" w:cs="Times New Roman"/>
          <w:kern w:val="0"/>
          <w:szCs w:val="24"/>
        </w:rPr>
        <w:t>71年台上字第1742號</w:t>
      </w:r>
      <w:r w:rsidRPr="00F27425">
        <w:rPr>
          <w:rFonts w:ascii="標楷體" w:eastAsia="標楷體" w:hAnsi="標楷體" w:cs="Times New Roman" w:hint="eastAsia"/>
          <w:kern w:val="0"/>
          <w:szCs w:val="24"/>
        </w:rPr>
        <w:t>裁定：「</w:t>
      </w:r>
      <w:r w:rsidRPr="00F27425">
        <w:rPr>
          <w:rFonts w:ascii="標楷體" w:eastAsia="標楷體" w:hAnsi="標楷體"/>
          <w:szCs w:val="24"/>
        </w:rPr>
        <w:t>債務人對於支付命令未於法定期間提出異議者，支付命令與確定判決有同</w:t>
      </w:r>
      <w:r w:rsidRPr="00F27425">
        <w:rPr>
          <w:rFonts w:ascii="標楷體" w:eastAsia="標楷體" w:hAnsi="標楷體" w:cs="細明體"/>
          <w:kern w:val="0"/>
          <w:szCs w:val="24"/>
        </w:rPr>
        <w:t>一效力，民事訴訟法</w:t>
      </w:r>
      <w:proofErr w:type="gramStart"/>
      <w:r w:rsidRPr="00F27425">
        <w:rPr>
          <w:rFonts w:ascii="標楷體" w:eastAsia="標楷體" w:hAnsi="標楷體" w:cs="細明體"/>
          <w:kern w:val="0"/>
          <w:szCs w:val="24"/>
        </w:rPr>
        <w:t>第五百二十一條定有</w:t>
      </w:r>
      <w:proofErr w:type="gramEnd"/>
      <w:r w:rsidRPr="00F27425">
        <w:rPr>
          <w:rFonts w:ascii="標楷體" w:eastAsia="標楷體" w:hAnsi="標楷體" w:cs="細明體"/>
          <w:kern w:val="0"/>
          <w:szCs w:val="24"/>
        </w:rPr>
        <w:t>明文。</w:t>
      </w:r>
      <w:r w:rsidRPr="00F27425">
        <w:rPr>
          <w:rFonts w:ascii="標楷體" w:eastAsia="標楷體" w:hAnsi="標楷體" w:cs="細明體"/>
          <w:b/>
          <w:i/>
          <w:kern w:val="0"/>
          <w:szCs w:val="24"/>
        </w:rPr>
        <w:t>確定支付命令之效力既與確定判決同，其經發該支付命令之法律關係，當事人自不得就之更行起訴，</w:t>
      </w:r>
      <w:proofErr w:type="gramStart"/>
      <w:r w:rsidRPr="00F27425">
        <w:rPr>
          <w:rFonts w:ascii="標楷體" w:eastAsia="標楷體" w:hAnsi="標楷體" w:cs="細明體"/>
          <w:b/>
          <w:i/>
          <w:kern w:val="0"/>
          <w:szCs w:val="24"/>
        </w:rPr>
        <w:t>其訴即屬</w:t>
      </w:r>
      <w:proofErr w:type="gramEnd"/>
      <w:r w:rsidRPr="00F27425">
        <w:rPr>
          <w:rFonts w:ascii="標楷體" w:eastAsia="標楷體" w:hAnsi="標楷體" w:cs="細明體"/>
          <w:b/>
          <w:i/>
          <w:kern w:val="0"/>
          <w:szCs w:val="24"/>
        </w:rPr>
        <w:t>不合法</w:t>
      </w:r>
      <w:r w:rsidRPr="00F27425">
        <w:rPr>
          <w:rFonts w:ascii="標楷體" w:eastAsia="標楷體" w:hAnsi="標楷體" w:cs="細明體"/>
          <w:kern w:val="0"/>
          <w:szCs w:val="24"/>
        </w:rPr>
        <w:t xml:space="preserve"> (見同法第四百條第一項及第二百四十九條第一項第七款</w:t>
      </w:r>
      <w:r w:rsidR="00864112" w:rsidRPr="00F27425">
        <w:rPr>
          <w:rStyle w:val="a6"/>
          <w:rFonts w:ascii="標楷體" w:eastAsia="標楷體" w:hAnsi="標楷體" w:cs="細明體"/>
          <w:kern w:val="0"/>
          <w:szCs w:val="24"/>
        </w:rPr>
        <w:footnoteReference w:id="9"/>
      </w:r>
      <w:r w:rsidRPr="00F27425">
        <w:rPr>
          <w:rFonts w:ascii="標楷體" w:eastAsia="標楷體" w:hAnsi="標楷體" w:cs="細明體"/>
          <w:kern w:val="0"/>
          <w:szCs w:val="24"/>
        </w:rPr>
        <w:t>規定) 。</w:t>
      </w:r>
      <w:r w:rsidRPr="00F27425">
        <w:rPr>
          <w:rFonts w:ascii="標楷體" w:eastAsia="標楷體" w:hAnsi="標楷體" w:cs="細明體" w:hint="eastAsia"/>
          <w:kern w:val="0"/>
          <w:szCs w:val="24"/>
        </w:rPr>
        <w:t>」</w:t>
      </w:r>
    </w:p>
    <w:p w14:paraId="589E8C79" w14:textId="77777777" w:rsidR="00BF1E3D" w:rsidRPr="00F27425" w:rsidRDefault="00BF1E3D" w:rsidP="007A4DCC">
      <w:pPr>
        <w:widowControl/>
        <w:ind w:leftChars="200" w:left="480"/>
        <w:jc w:val="both"/>
        <w:rPr>
          <w:rFonts w:ascii="標楷體" w:eastAsia="標楷體" w:hAnsi="標楷體" w:cs="細明體"/>
          <w:kern w:val="0"/>
          <w:szCs w:val="24"/>
        </w:rPr>
      </w:pPr>
    </w:p>
    <w:p w14:paraId="557FEEF3" w14:textId="49A892A4" w:rsidR="00F02FE8" w:rsidRPr="00F27425" w:rsidRDefault="000300ED" w:rsidP="00D42A60">
      <w:pPr>
        <w:pStyle w:val="HTML"/>
        <w:ind w:leftChars="200" w:left="480" w:firstLineChars="200" w:firstLine="480"/>
        <w:jc w:val="both"/>
        <w:rPr>
          <w:rFonts w:ascii="標楷體" w:eastAsia="標楷體" w:hAnsi="標楷體"/>
        </w:rPr>
      </w:pPr>
      <w:r w:rsidRPr="00F27425">
        <w:rPr>
          <w:rFonts w:ascii="標楷體" w:eastAsia="標楷體" w:hAnsi="標楷體" w:hint="eastAsia"/>
        </w:rPr>
        <w:t>再者實務上對於</w:t>
      </w:r>
      <w:r w:rsidR="00BF1E3D" w:rsidRPr="00F27425">
        <w:rPr>
          <w:rFonts w:ascii="標楷體" w:eastAsia="標楷體" w:hAnsi="標楷體" w:hint="eastAsia"/>
        </w:rPr>
        <w:t>所謂</w:t>
      </w:r>
      <w:r w:rsidRPr="00F27425">
        <w:rPr>
          <w:rFonts w:ascii="標楷體" w:eastAsia="標楷體" w:hAnsi="標楷體" w:hint="eastAsia"/>
        </w:rPr>
        <w:t>同一事件</w:t>
      </w:r>
      <w:r w:rsidR="00BF1E3D" w:rsidRPr="00F27425">
        <w:rPr>
          <w:rFonts w:ascii="標楷體" w:eastAsia="標楷體" w:hAnsi="標楷體" w:hint="eastAsia"/>
        </w:rPr>
        <w:t>及訴訟標的</w:t>
      </w:r>
      <w:r w:rsidRPr="00F27425">
        <w:rPr>
          <w:rFonts w:ascii="標楷體" w:eastAsia="標楷體" w:hAnsi="標楷體" w:hint="eastAsia"/>
        </w:rPr>
        <w:t>之</w:t>
      </w:r>
      <w:r w:rsidR="00BF1E3D" w:rsidRPr="00F27425">
        <w:rPr>
          <w:rFonts w:ascii="標楷體" w:eastAsia="標楷體" w:hAnsi="標楷體" w:hint="eastAsia"/>
        </w:rPr>
        <w:t>認定</w:t>
      </w:r>
      <w:r w:rsidRPr="00F27425">
        <w:rPr>
          <w:rFonts w:ascii="標楷體" w:eastAsia="標楷體" w:hAnsi="標楷體" w:hint="eastAsia"/>
        </w:rPr>
        <w:t>涵蓋非常之廣，</w:t>
      </w:r>
      <w:r w:rsidR="00BF1E3D" w:rsidRPr="00F27425">
        <w:rPr>
          <w:rFonts w:ascii="標楷體" w:eastAsia="標楷體" w:hAnsi="標楷體" w:hint="eastAsia"/>
        </w:rPr>
        <w:t>參照最高法院93年台上字1432號民事裁定：「</w:t>
      </w:r>
      <w:r w:rsidR="00BF1E3D" w:rsidRPr="00F27425">
        <w:rPr>
          <w:rFonts w:ascii="標楷體" w:eastAsia="標楷體" w:hAnsi="標楷體"/>
        </w:rPr>
        <w:t>確定之支付命令與確定判決有同一之效力，凡確定判決所能生之</w:t>
      </w:r>
      <w:proofErr w:type="gramStart"/>
      <w:r w:rsidR="00BF1E3D" w:rsidRPr="00F27425">
        <w:rPr>
          <w:rFonts w:ascii="標楷體" w:eastAsia="標楷體" w:hAnsi="標楷體"/>
        </w:rPr>
        <w:t>既判力</w:t>
      </w:r>
      <w:proofErr w:type="gramEnd"/>
      <w:r w:rsidR="00BF1E3D" w:rsidRPr="00F27425">
        <w:rPr>
          <w:rFonts w:ascii="標楷體" w:eastAsia="標楷體" w:hAnsi="標楷體"/>
        </w:rPr>
        <w:t>及執行力，支付命令皆得有之，當事人不得就該法律關係更行起訴。而確定判決所生之</w:t>
      </w:r>
      <w:proofErr w:type="gramStart"/>
      <w:r w:rsidR="00BF1E3D" w:rsidRPr="00F27425">
        <w:rPr>
          <w:rFonts w:ascii="標楷體" w:eastAsia="標楷體" w:hAnsi="標楷體"/>
        </w:rPr>
        <w:t>既判力</w:t>
      </w:r>
      <w:proofErr w:type="gramEnd"/>
      <w:r w:rsidR="00BF1E3D" w:rsidRPr="00F27425">
        <w:rPr>
          <w:rFonts w:ascii="標楷體" w:eastAsia="標楷體" w:hAnsi="標楷體"/>
        </w:rPr>
        <w:t>，除當事人就確定終局判決經裁判之訴訟標的法律關係，不得更行起訴或為相反之主張外，法院亦不得為與確定判決意旨相反之裁判。否則將使同一紛爭再燃，即無以維持法之安定，及保障當事人權利、維護私法秩序，無法達成裁判之強制性、終局性解決紛爭之目的。本件上訴人以其對被上訴人有佣金債權存在，經聲請新竹地院准許核發支付命令，被上訴人收受該支付命令後，未於二十日之不變期間內提出異議，已生與確定判決同一之效力，為原審合法認定之事實。則</w:t>
      </w:r>
      <w:r w:rsidR="00BF1E3D" w:rsidRPr="00F27425">
        <w:rPr>
          <w:rFonts w:ascii="標楷體" w:eastAsia="標楷體" w:hAnsi="標楷體"/>
          <w:b/>
          <w:i/>
        </w:rPr>
        <w:t>被上訴人依「侵權行為」或「不當得利」為本件請求之法律上依據，雖與</w:t>
      </w:r>
      <w:r w:rsidR="00BF1E3D" w:rsidRPr="00F27425">
        <w:rPr>
          <w:rFonts w:ascii="標楷體" w:eastAsia="標楷體" w:hAnsi="標楷體"/>
          <w:b/>
          <w:i/>
        </w:rPr>
        <w:lastRenderedPageBreak/>
        <w:t>確定支付命令之「佣金債權請求權」為不同之訴訟標的，而無一事不再理原則之適用，惟就兩造間確定有「佣金債權存在」之事實，依上說明，被上訴人已不得再為相反之主張，法院亦不得為與該確定支付命令意旨相反之裁判，否則即違反該確定支付命令之</w:t>
      </w:r>
      <w:proofErr w:type="gramStart"/>
      <w:r w:rsidR="00BF1E3D" w:rsidRPr="00F27425">
        <w:rPr>
          <w:rFonts w:ascii="標楷體" w:eastAsia="標楷體" w:hAnsi="標楷體"/>
          <w:b/>
          <w:i/>
        </w:rPr>
        <w:t>既判力</w:t>
      </w:r>
      <w:proofErr w:type="gramEnd"/>
      <w:r w:rsidR="00BF1E3D" w:rsidRPr="00F27425">
        <w:rPr>
          <w:rFonts w:ascii="標楷體" w:eastAsia="標楷體" w:hAnsi="標楷體"/>
          <w:b/>
          <w:i/>
        </w:rPr>
        <w:t>。</w:t>
      </w:r>
      <w:r w:rsidR="00BF1E3D" w:rsidRPr="00F27425">
        <w:rPr>
          <w:rFonts w:ascii="標楷體" w:eastAsia="標楷體" w:hAnsi="標楷體" w:hint="eastAsia"/>
        </w:rPr>
        <w:t>」</w:t>
      </w:r>
      <w:r w:rsidR="00786C76" w:rsidRPr="00F27425">
        <w:rPr>
          <w:rFonts w:ascii="標楷體" w:eastAsia="標楷體" w:hAnsi="標楷體" w:hint="eastAsia"/>
        </w:rPr>
        <w:t>如此，對於同一事件若再行起訴，即非所能准許。</w:t>
      </w:r>
      <w:r w:rsidR="00D24B1C" w:rsidRPr="00F27425">
        <w:rPr>
          <w:rFonts w:ascii="標楷體" w:eastAsia="標楷體" w:hAnsi="標楷體" w:hint="eastAsia"/>
        </w:rPr>
        <w:t>且若照上述93年最高法院之民事裁定即使係</w:t>
      </w:r>
      <w:r w:rsidR="00766F03" w:rsidRPr="00F27425">
        <w:rPr>
          <w:rFonts w:ascii="標楷體" w:eastAsia="標楷體" w:hAnsi="標楷體" w:hint="eastAsia"/>
        </w:rPr>
        <w:t>二不同之訴訟標的亦受支付命令之</w:t>
      </w:r>
      <w:proofErr w:type="gramStart"/>
      <w:r w:rsidR="00766F03" w:rsidRPr="00F27425">
        <w:rPr>
          <w:rFonts w:ascii="標楷體" w:eastAsia="標楷體" w:hAnsi="標楷體" w:hint="eastAsia"/>
        </w:rPr>
        <w:t>既判力</w:t>
      </w:r>
      <w:proofErr w:type="gramEnd"/>
      <w:r w:rsidR="00766F03" w:rsidRPr="00F27425">
        <w:rPr>
          <w:rFonts w:ascii="標楷體" w:eastAsia="標楷體" w:hAnsi="標楷體" w:hint="eastAsia"/>
        </w:rPr>
        <w:t>所及，職是</w:t>
      </w:r>
      <w:proofErr w:type="gramStart"/>
      <w:r w:rsidR="00766F03" w:rsidRPr="00F27425">
        <w:rPr>
          <w:rFonts w:ascii="標楷體" w:eastAsia="標楷體" w:hAnsi="標楷體" w:hint="eastAsia"/>
        </w:rPr>
        <w:t>之</w:t>
      </w:r>
      <w:proofErr w:type="gramEnd"/>
      <w:r w:rsidR="00766F03" w:rsidRPr="00F27425">
        <w:rPr>
          <w:rFonts w:ascii="標楷體" w:eastAsia="標楷體" w:hAnsi="標楷體" w:hint="eastAsia"/>
        </w:rPr>
        <w:t>故，</w:t>
      </w:r>
      <w:r w:rsidR="00D24B1C" w:rsidRPr="00F27425">
        <w:rPr>
          <w:rFonts w:ascii="標楷體" w:eastAsia="標楷體" w:hAnsi="標楷體" w:hint="eastAsia"/>
        </w:rPr>
        <w:t>債權人</w:t>
      </w:r>
      <w:r w:rsidR="00766F03" w:rsidRPr="00F27425">
        <w:rPr>
          <w:rFonts w:ascii="標楷體" w:eastAsia="標楷體" w:hAnsi="標楷體" w:hint="eastAsia"/>
        </w:rPr>
        <w:t>也</w:t>
      </w:r>
      <w:r w:rsidR="00D24B1C" w:rsidRPr="00F27425">
        <w:rPr>
          <w:rFonts w:ascii="標楷體" w:eastAsia="標楷體" w:hAnsi="標楷體" w:hint="eastAsia"/>
        </w:rPr>
        <w:t>亦不得提起消極之確認訴訟，否定債權人之主張，據以排除支付命令之效力。</w:t>
      </w:r>
    </w:p>
    <w:p w14:paraId="27FEB6D2" w14:textId="77777777" w:rsidR="00786C76" w:rsidRPr="00F27425" w:rsidRDefault="00786C76" w:rsidP="007A4DCC">
      <w:pPr>
        <w:widowControl/>
        <w:ind w:leftChars="200" w:left="480"/>
        <w:jc w:val="both"/>
        <w:rPr>
          <w:rFonts w:ascii="標楷體" w:eastAsia="標楷體" w:hAnsi="標楷體" w:cs="細明體"/>
          <w:kern w:val="0"/>
          <w:szCs w:val="24"/>
        </w:rPr>
      </w:pPr>
    </w:p>
    <w:p w14:paraId="71B86842" w14:textId="0D84F1E0" w:rsidR="00F02FE8" w:rsidRPr="00F27425" w:rsidRDefault="00786C76" w:rsidP="00D42A60">
      <w:pPr>
        <w:widowControl/>
        <w:ind w:leftChars="200" w:left="480" w:firstLineChars="200" w:firstLine="480"/>
        <w:jc w:val="both"/>
        <w:rPr>
          <w:rFonts w:ascii="標楷體" w:eastAsia="標楷體" w:hAnsi="標楷體" w:cs="細明體"/>
          <w:kern w:val="0"/>
          <w:szCs w:val="24"/>
        </w:rPr>
      </w:pPr>
      <w:r w:rsidRPr="00F27425">
        <w:rPr>
          <w:rFonts w:ascii="標楷體" w:eastAsia="標楷體" w:hAnsi="標楷體" w:cs="細明體" w:hint="eastAsia"/>
          <w:kern w:val="0"/>
          <w:szCs w:val="24"/>
        </w:rPr>
        <w:t>另再對(確定)支付命令</w:t>
      </w:r>
      <w:r w:rsidR="00864112" w:rsidRPr="00F27425">
        <w:rPr>
          <w:rFonts w:ascii="標楷體" w:eastAsia="標楷體" w:hAnsi="標楷體" w:cs="細明體" w:hint="eastAsia"/>
          <w:kern w:val="0"/>
          <w:szCs w:val="24"/>
        </w:rPr>
        <w:t>若有民事訴訟法第496條第1項</w:t>
      </w:r>
      <w:r w:rsidR="00864112" w:rsidRPr="00F27425">
        <w:rPr>
          <w:rStyle w:val="a6"/>
          <w:rFonts w:ascii="標楷體" w:eastAsia="標楷體" w:hAnsi="標楷體" w:cs="細明體"/>
          <w:kern w:val="0"/>
          <w:szCs w:val="24"/>
        </w:rPr>
        <w:footnoteReference w:id="10"/>
      </w:r>
      <w:r w:rsidR="007A577D" w:rsidRPr="00F27425">
        <w:rPr>
          <w:rFonts w:ascii="標楷體" w:eastAsia="標楷體" w:hAnsi="標楷體" w:cs="細明體" w:hint="eastAsia"/>
          <w:kern w:val="0"/>
          <w:szCs w:val="24"/>
        </w:rPr>
        <w:t>之再審事由</w:t>
      </w:r>
      <w:r w:rsidR="00864112" w:rsidRPr="00F27425">
        <w:rPr>
          <w:rFonts w:ascii="標楷體" w:eastAsia="標楷體" w:hAnsi="標楷體" w:cs="細明體" w:hint="eastAsia"/>
          <w:kern w:val="0"/>
          <w:szCs w:val="24"/>
        </w:rPr>
        <w:t>時，</w:t>
      </w:r>
      <w:r w:rsidR="000C2012" w:rsidRPr="00F27425">
        <w:rPr>
          <w:rFonts w:ascii="標楷體" w:eastAsia="標楷體" w:hAnsi="標楷體" w:cs="細明體" w:hint="eastAsia"/>
          <w:kern w:val="0"/>
          <w:szCs w:val="24"/>
        </w:rPr>
        <w:t>應對之提起再審之訴，</w:t>
      </w:r>
      <w:r w:rsidR="007165A6" w:rsidRPr="00F27425">
        <w:rPr>
          <w:rFonts w:ascii="標楷體" w:eastAsia="標楷體" w:hAnsi="標楷體" w:cs="細明體" w:hint="eastAsia"/>
          <w:kern w:val="0"/>
          <w:szCs w:val="24"/>
        </w:rPr>
        <w:t>而因</w:t>
      </w:r>
      <w:r w:rsidR="00F44A8A" w:rsidRPr="00F27425">
        <w:rPr>
          <w:rFonts w:ascii="標楷體" w:eastAsia="標楷體" w:hAnsi="標楷體" w:cs="細明體" w:hint="eastAsia"/>
          <w:kern w:val="0"/>
          <w:szCs w:val="24"/>
        </w:rPr>
        <w:t>支付命令未經訴訟程序</w:t>
      </w:r>
      <w:r w:rsidR="007165A6" w:rsidRPr="00F27425">
        <w:rPr>
          <w:rFonts w:ascii="標楷體" w:eastAsia="標楷體" w:hAnsi="標楷體" w:cs="細明體" w:hint="eastAsia"/>
          <w:kern w:val="0"/>
          <w:szCs w:val="24"/>
        </w:rPr>
        <w:t>，</w:t>
      </w:r>
      <w:r w:rsidR="00F44A8A" w:rsidRPr="00F27425">
        <w:rPr>
          <w:rFonts w:ascii="標楷體" w:eastAsia="標楷體" w:hAnsi="標楷體" w:cs="細明體" w:hint="eastAsia"/>
          <w:kern w:val="0"/>
          <w:szCs w:val="24"/>
        </w:rPr>
        <w:t>再審之訴為前程序之再開或續行，故民事訴訟法521條第2項明文，以支付命令之聲請視為已起訴</w:t>
      </w:r>
      <w:r w:rsidR="007165A6" w:rsidRPr="00F27425">
        <w:rPr>
          <w:rStyle w:val="a6"/>
          <w:rFonts w:ascii="標楷體" w:eastAsia="標楷體" w:hAnsi="標楷體" w:cs="細明體"/>
          <w:kern w:val="0"/>
          <w:szCs w:val="24"/>
        </w:rPr>
        <w:footnoteReference w:id="11"/>
      </w:r>
      <w:r w:rsidR="00F44A8A" w:rsidRPr="00F27425">
        <w:rPr>
          <w:rFonts w:ascii="標楷體" w:eastAsia="標楷體" w:hAnsi="標楷體" w:cs="細明體" w:hint="eastAsia"/>
          <w:kern w:val="0"/>
          <w:szCs w:val="24"/>
        </w:rPr>
        <w:t>。</w:t>
      </w:r>
      <w:proofErr w:type="gramStart"/>
      <w:r w:rsidR="007165A6" w:rsidRPr="00F27425">
        <w:rPr>
          <w:rFonts w:ascii="標楷體" w:eastAsia="標楷體" w:hAnsi="標楷體" w:cs="細明體" w:hint="eastAsia"/>
          <w:kern w:val="0"/>
          <w:szCs w:val="24"/>
        </w:rPr>
        <w:t>惟</w:t>
      </w:r>
      <w:proofErr w:type="gramEnd"/>
      <w:r w:rsidR="007165A6" w:rsidRPr="00F27425">
        <w:rPr>
          <w:rFonts w:ascii="標楷體" w:eastAsia="標楷體" w:hAnsi="標楷體" w:cs="細明體" w:hint="eastAsia"/>
          <w:kern w:val="0"/>
          <w:szCs w:val="24"/>
        </w:rPr>
        <w:t>支付之命之審查係基於當事人表明之原因事實，</w:t>
      </w:r>
      <w:r w:rsidR="000F2FC0">
        <w:rPr>
          <w:rFonts w:ascii="標楷體" w:eastAsia="標楷體" w:hAnsi="標楷體" w:cs="細明體" w:hint="eastAsia"/>
          <w:kern w:val="0"/>
          <w:szCs w:val="24"/>
        </w:rPr>
        <w:t>對此</w:t>
      </w:r>
      <w:r w:rsidR="001A0DF3" w:rsidRPr="00F27425">
        <w:rPr>
          <w:rFonts w:ascii="標楷體" w:eastAsia="標楷體" w:hAnsi="標楷體" w:cs="細明體" w:hint="eastAsia"/>
          <w:kern w:val="0"/>
          <w:szCs w:val="24"/>
        </w:rPr>
        <w:t>實務認為，如有違誤均歸屬於認定事實有錯誤而非法律適用不當造成之結果不正當。而就上述民事訴訟法第496條第1項之適用法規錯誤範圍，參照最高法院57年1091判例之要旨：「確定判決違背法規或現存判例解釋為限」，</w:t>
      </w:r>
      <w:proofErr w:type="gramStart"/>
      <w:r w:rsidR="001A0DF3" w:rsidRPr="00F27425">
        <w:rPr>
          <w:rFonts w:ascii="標楷體" w:eastAsia="標楷體" w:hAnsi="標楷體" w:cs="細明體" w:hint="eastAsia"/>
          <w:kern w:val="0"/>
          <w:szCs w:val="24"/>
        </w:rPr>
        <w:t>清楚的</w:t>
      </w:r>
      <w:proofErr w:type="gramEnd"/>
      <w:r w:rsidR="001A0DF3" w:rsidRPr="00F27425">
        <w:rPr>
          <w:rFonts w:ascii="標楷體" w:eastAsia="標楷體" w:hAnsi="標楷體" w:cs="細明體" w:hint="eastAsia"/>
          <w:kern w:val="0"/>
          <w:szCs w:val="24"/>
        </w:rPr>
        <w:t>區隔再審事由並不含</w:t>
      </w:r>
      <w:proofErr w:type="gramStart"/>
      <w:r w:rsidR="001A0DF3" w:rsidRPr="00F27425">
        <w:rPr>
          <w:rFonts w:ascii="標楷體" w:eastAsia="標楷體" w:hAnsi="標楷體" w:cs="細明體" w:hint="eastAsia"/>
          <w:kern w:val="0"/>
          <w:szCs w:val="24"/>
        </w:rPr>
        <w:t>括</w:t>
      </w:r>
      <w:proofErr w:type="gramEnd"/>
      <w:r w:rsidR="001A0DF3" w:rsidRPr="00F27425">
        <w:rPr>
          <w:rFonts w:ascii="標楷體" w:eastAsia="標楷體" w:hAnsi="標楷體" w:cs="細明體" w:hint="eastAsia"/>
          <w:kern w:val="0"/>
          <w:szCs w:val="24"/>
        </w:rPr>
        <w:t>事實認定錯誤在內</w:t>
      </w:r>
      <w:r w:rsidR="001A0DF3" w:rsidRPr="00F27425">
        <w:rPr>
          <w:rStyle w:val="a6"/>
          <w:rFonts w:ascii="標楷體" w:eastAsia="標楷體" w:hAnsi="標楷體" w:cs="細明體"/>
          <w:kern w:val="0"/>
          <w:szCs w:val="24"/>
        </w:rPr>
        <w:footnoteReference w:id="12"/>
      </w:r>
      <w:r w:rsidR="001A0DF3" w:rsidRPr="00F27425">
        <w:rPr>
          <w:rFonts w:ascii="標楷體" w:eastAsia="標楷體" w:hAnsi="標楷體" w:cs="細明體" w:hint="eastAsia"/>
          <w:kern w:val="0"/>
          <w:szCs w:val="24"/>
        </w:rPr>
        <w:t>。</w:t>
      </w:r>
      <w:proofErr w:type="gramStart"/>
      <w:r w:rsidR="007A577D" w:rsidRPr="00F27425">
        <w:rPr>
          <w:rFonts w:ascii="標楷體" w:eastAsia="標楷體" w:hAnsi="標楷體" w:cs="細明體" w:hint="eastAsia"/>
          <w:kern w:val="0"/>
          <w:szCs w:val="24"/>
        </w:rPr>
        <w:t>係故對於</w:t>
      </w:r>
      <w:proofErr w:type="gramEnd"/>
      <w:r w:rsidR="007A577D" w:rsidRPr="00F27425">
        <w:rPr>
          <w:rFonts w:ascii="標楷體" w:eastAsia="標楷體" w:hAnsi="標楷體" w:cs="細明體" w:hint="eastAsia"/>
          <w:kern w:val="0"/>
          <w:szCs w:val="24"/>
        </w:rPr>
        <w:t>未具有</w:t>
      </w:r>
      <w:r w:rsidR="007A577D" w:rsidRPr="00F27425">
        <w:rPr>
          <w:rFonts w:ascii="標楷體" w:eastAsia="標楷體" w:hAnsi="標楷體" w:hint="eastAsia"/>
          <w:szCs w:val="24"/>
        </w:rPr>
        <w:t>理由性審查支付命令，實有適用上之困難度。根據司法院統計之資料(修法前)</w:t>
      </w:r>
      <w:r w:rsidR="007A577D" w:rsidRPr="00F27425">
        <w:rPr>
          <w:rFonts w:ascii="標楷體" w:eastAsia="標楷體" w:hAnsi="標楷體"/>
          <w:szCs w:val="24"/>
        </w:rPr>
        <w:t>支付命令聲請再審的平均廢棄率僅為百萬分之5.3，一百萬個人中只有5.3個人聲請再審會成功，救濟管道形同虛設</w:t>
      </w:r>
      <w:r w:rsidR="007A577D" w:rsidRPr="00F27425">
        <w:rPr>
          <w:rStyle w:val="a6"/>
          <w:rFonts w:ascii="標楷體" w:eastAsia="標楷體" w:hAnsi="標楷體"/>
          <w:szCs w:val="24"/>
        </w:rPr>
        <w:footnoteReference w:id="13"/>
      </w:r>
      <w:r w:rsidR="007A577D" w:rsidRPr="00F27425">
        <w:rPr>
          <w:rFonts w:ascii="標楷體" w:eastAsia="標楷體" w:hAnsi="標楷體"/>
          <w:szCs w:val="24"/>
        </w:rPr>
        <w:t>。</w:t>
      </w:r>
    </w:p>
    <w:p w14:paraId="4A84A13D" w14:textId="77777777" w:rsidR="007A577D" w:rsidRPr="00F27425" w:rsidRDefault="007A577D" w:rsidP="007A4DCC">
      <w:pPr>
        <w:pStyle w:val="a3"/>
        <w:ind w:leftChars="0"/>
        <w:jc w:val="both"/>
        <w:rPr>
          <w:rFonts w:ascii="標楷體" w:eastAsia="標楷體" w:hAnsi="標楷體"/>
          <w:szCs w:val="24"/>
        </w:rPr>
      </w:pPr>
    </w:p>
    <w:p w14:paraId="5D2A8556" w14:textId="77777777" w:rsidR="007A577D" w:rsidRPr="00F27425" w:rsidRDefault="007A577D" w:rsidP="007A4DCC">
      <w:pPr>
        <w:pStyle w:val="a3"/>
        <w:numPr>
          <w:ilvl w:val="0"/>
          <w:numId w:val="28"/>
        </w:numPr>
        <w:ind w:leftChars="0"/>
        <w:jc w:val="both"/>
        <w:rPr>
          <w:rFonts w:ascii="標楷體" w:eastAsia="標楷體" w:hAnsi="標楷體"/>
          <w:szCs w:val="24"/>
        </w:rPr>
      </w:pPr>
      <w:r w:rsidRPr="00F27425">
        <w:rPr>
          <w:rFonts w:ascii="標楷體" w:eastAsia="標楷體" w:hAnsi="標楷體" w:hint="eastAsia"/>
          <w:szCs w:val="24"/>
        </w:rPr>
        <w:t>修法後之(確定)支付命令之救濟</w:t>
      </w:r>
    </w:p>
    <w:p w14:paraId="434A2ED3" w14:textId="0754E609" w:rsidR="006865C2" w:rsidRPr="00F27425" w:rsidRDefault="0004679B" w:rsidP="00D42A60">
      <w:pPr>
        <w:pStyle w:val="a3"/>
        <w:ind w:leftChars="0" w:firstLineChars="200" w:firstLine="480"/>
        <w:jc w:val="both"/>
        <w:rPr>
          <w:rFonts w:ascii="標楷體" w:eastAsia="標楷體" w:hAnsi="標楷體"/>
          <w:szCs w:val="24"/>
        </w:rPr>
      </w:pPr>
      <w:r w:rsidRPr="00F27425">
        <w:rPr>
          <w:rFonts w:ascii="標楷體" w:eastAsia="標楷體" w:hAnsi="標楷體" w:hint="eastAsia"/>
          <w:szCs w:val="24"/>
        </w:rPr>
        <w:t>現行民事訴訟法521條明文：「</w:t>
      </w:r>
      <w:r w:rsidRPr="00F27425">
        <w:rPr>
          <w:rFonts w:ascii="標楷體" w:eastAsia="標楷體" w:hAnsi="標楷體"/>
          <w:szCs w:val="24"/>
        </w:rPr>
        <w:t>債務人對於支付命令未於法定期間合法提出異議者，支付命令得為執行名義。前項情形，為裁定之法院應付與裁定確定證明書。 債務人主張支付命令上所載債權不存在而 提起確認</w:t>
      </w:r>
      <w:proofErr w:type="gramStart"/>
      <w:r w:rsidRPr="00F27425">
        <w:rPr>
          <w:rFonts w:ascii="標楷體" w:eastAsia="標楷體" w:hAnsi="標楷體"/>
          <w:szCs w:val="24"/>
        </w:rPr>
        <w:t>之訴者</w:t>
      </w:r>
      <w:proofErr w:type="gramEnd"/>
      <w:r w:rsidRPr="00F27425">
        <w:rPr>
          <w:rFonts w:ascii="標楷體" w:eastAsia="標楷體" w:hAnsi="標楷體"/>
          <w:szCs w:val="24"/>
        </w:rPr>
        <w:t>，法院依債務人聲請，得許其提供相當並確實之擔保，停止強制</w:t>
      </w:r>
      <w:r w:rsidRPr="00F27425">
        <w:rPr>
          <w:rFonts w:ascii="標楷體" w:eastAsia="標楷體" w:hAnsi="標楷體" w:hint="eastAsia"/>
          <w:szCs w:val="24"/>
        </w:rPr>
        <w:t>執</w:t>
      </w:r>
      <w:r w:rsidRPr="00F27425">
        <w:rPr>
          <w:rFonts w:ascii="標楷體" w:eastAsia="標楷體" w:hAnsi="標楷體"/>
          <w:szCs w:val="24"/>
        </w:rPr>
        <w:t>行</w:t>
      </w:r>
      <w:r w:rsidRPr="00F27425">
        <w:rPr>
          <w:rFonts w:ascii="標楷體" w:eastAsia="標楷體" w:hAnsi="標楷體" w:hint="eastAsia"/>
          <w:szCs w:val="24"/>
        </w:rPr>
        <w:t>。」</w:t>
      </w:r>
      <w:proofErr w:type="gramStart"/>
      <w:r w:rsidR="00766F03" w:rsidRPr="00F27425">
        <w:rPr>
          <w:rFonts w:ascii="標楷體" w:eastAsia="標楷體" w:hAnsi="標楷體" w:hint="eastAsia"/>
          <w:szCs w:val="24"/>
        </w:rPr>
        <w:t>爰</w:t>
      </w:r>
      <w:proofErr w:type="gramEnd"/>
      <w:r w:rsidR="00766F03" w:rsidRPr="00F27425">
        <w:rPr>
          <w:rFonts w:ascii="標楷體" w:eastAsia="標楷體" w:hAnsi="標楷體" w:hint="eastAsia"/>
          <w:szCs w:val="24"/>
        </w:rPr>
        <w:t>此，</w:t>
      </w:r>
      <w:proofErr w:type="gramStart"/>
      <w:r w:rsidR="006865C2" w:rsidRPr="00F27425">
        <w:rPr>
          <w:rFonts w:ascii="標楷體" w:eastAsia="標楷體" w:hAnsi="標楷體" w:hint="eastAsia"/>
          <w:szCs w:val="24"/>
        </w:rPr>
        <w:t>一</w:t>
      </w:r>
      <w:proofErr w:type="gramEnd"/>
      <w:r w:rsidR="006865C2" w:rsidRPr="00F27425">
        <w:rPr>
          <w:rFonts w:ascii="標楷體" w:eastAsia="標楷體" w:hAnsi="標楷體" w:hint="eastAsia"/>
          <w:szCs w:val="24"/>
        </w:rPr>
        <w:t>支付命令若債務人未於不變期間提出異議而致確定者</w:t>
      </w:r>
      <w:r w:rsidR="006865C2" w:rsidRPr="00F27425">
        <w:rPr>
          <w:rFonts w:ascii="標楷體" w:eastAsia="標楷體" w:hAnsi="標楷體"/>
          <w:szCs w:val="24"/>
        </w:rPr>
        <w:t>，</w:t>
      </w:r>
      <w:r w:rsidR="006865C2" w:rsidRPr="00F27425">
        <w:rPr>
          <w:rFonts w:ascii="標楷體" w:eastAsia="標楷體" w:hAnsi="標楷體" w:hint="eastAsia"/>
          <w:szCs w:val="24"/>
        </w:rPr>
        <w:t>於修法後之</w:t>
      </w:r>
      <w:proofErr w:type="gramStart"/>
      <w:r w:rsidR="006865C2" w:rsidRPr="00F27425">
        <w:rPr>
          <w:rFonts w:ascii="標楷體" w:eastAsia="標楷體" w:hAnsi="標楷體" w:hint="eastAsia"/>
          <w:szCs w:val="24"/>
        </w:rPr>
        <w:t>效力僅生執行</w:t>
      </w:r>
      <w:proofErr w:type="gramEnd"/>
      <w:r w:rsidR="006865C2" w:rsidRPr="00F27425">
        <w:rPr>
          <w:rFonts w:ascii="標楷體" w:eastAsia="標楷體" w:hAnsi="標楷體" w:hint="eastAsia"/>
          <w:szCs w:val="24"/>
        </w:rPr>
        <w:t>力已矣</w:t>
      </w:r>
      <w:r w:rsidR="006865C2" w:rsidRPr="00F27425">
        <w:rPr>
          <w:rFonts w:ascii="標楷體" w:eastAsia="標楷體" w:hAnsi="標楷體"/>
          <w:szCs w:val="24"/>
        </w:rPr>
        <w:t>，</w:t>
      </w:r>
      <w:proofErr w:type="gramStart"/>
      <w:r w:rsidR="006865C2" w:rsidRPr="00F27425">
        <w:rPr>
          <w:rFonts w:ascii="標楷體" w:eastAsia="標楷體" w:hAnsi="標楷體" w:hint="eastAsia"/>
          <w:szCs w:val="24"/>
        </w:rPr>
        <w:t>係故債務人</w:t>
      </w:r>
      <w:proofErr w:type="gramEnd"/>
      <w:r w:rsidR="006865C2" w:rsidRPr="00F27425">
        <w:rPr>
          <w:rFonts w:ascii="標楷體" w:eastAsia="標楷體" w:hAnsi="標楷體" w:hint="eastAsia"/>
          <w:szCs w:val="24"/>
        </w:rPr>
        <w:t>就已確定之支付命令提起消極確認之訴</w:t>
      </w:r>
      <w:r w:rsidR="006865C2" w:rsidRPr="00F27425">
        <w:rPr>
          <w:rFonts w:ascii="標楷體" w:eastAsia="標楷體" w:hAnsi="標楷體"/>
          <w:szCs w:val="24"/>
        </w:rPr>
        <w:t>，</w:t>
      </w:r>
      <w:r w:rsidR="006865C2" w:rsidRPr="00F27425">
        <w:rPr>
          <w:rFonts w:ascii="標楷體" w:eastAsia="標楷體" w:hAnsi="標楷體" w:hint="eastAsia"/>
          <w:szCs w:val="24"/>
        </w:rPr>
        <w:t>應無再因訴訟類型錯誤而遭法院形式駁回之空間。</w:t>
      </w:r>
    </w:p>
    <w:p w14:paraId="0FF334CA" w14:textId="77777777" w:rsidR="003E1A92" w:rsidRPr="00F27425" w:rsidRDefault="003E1A92" w:rsidP="007A4DCC">
      <w:pPr>
        <w:pStyle w:val="a3"/>
        <w:ind w:leftChars="0"/>
        <w:jc w:val="both"/>
        <w:rPr>
          <w:rFonts w:ascii="標楷體" w:eastAsia="標楷體" w:hAnsi="標楷體"/>
          <w:szCs w:val="24"/>
        </w:rPr>
      </w:pPr>
    </w:p>
    <w:p w14:paraId="003CDE96" w14:textId="3DC0E8C2" w:rsidR="001B63A6" w:rsidRPr="00F27425" w:rsidRDefault="003E1A92" w:rsidP="00D42A60">
      <w:pPr>
        <w:pStyle w:val="a3"/>
        <w:ind w:leftChars="0" w:firstLineChars="200" w:firstLine="480"/>
        <w:jc w:val="both"/>
        <w:rPr>
          <w:rFonts w:ascii="標楷體" w:eastAsia="標楷體" w:hAnsi="標楷體"/>
          <w:szCs w:val="24"/>
        </w:rPr>
      </w:pPr>
      <w:r w:rsidRPr="00F27425">
        <w:rPr>
          <w:rFonts w:ascii="標楷體" w:eastAsia="標楷體" w:hAnsi="標楷體" w:hint="eastAsia"/>
          <w:szCs w:val="24"/>
        </w:rPr>
        <w:t>再就新修訂之民事訴訟施行法第4-4條</w:t>
      </w:r>
      <w:r w:rsidRPr="00F27425">
        <w:rPr>
          <w:rStyle w:val="a6"/>
          <w:rFonts w:ascii="標楷體" w:eastAsia="標楷體" w:hAnsi="標楷體"/>
          <w:szCs w:val="24"/>
        </w:rPr>
        <w:footnoteReference w:id="14"/>
      </w:r>
      <w:r w:rsidRPr="00F27425">
        <w:rPr>
          <w:rFonts w:ascii="標楷體" w:eastAsia="標楷體" w:hAnsi="標楷體" w:hint="eastAsia"/>
          <w:szCs w:val="24"/>
        </w:rPr>
        <w:t>探知</w:t>
      </w:r>
      <w:r w:rsidR="001B63A6" w:rsidRPr="00F27425">
        <w:rPr>
          <w:rFonts w:ascii="標楷體" w:eastAsia="標楷體" w:hAnsi="標楷體"/>
          <w:szCs w:val="24"/>
        </w:rPr>
        <w:t>，</w:t>
      </w:r>
      <w:r w:rsidR="001B63A6" w:rsidRPr="00F27425">
        <w:rPr>
          <w:rFonts w:ascii="標楷體" w:eastAsia="標楷體" w:hAnsi="標楷體" w:hint="eastAsia"/>
          <w:szCs w:val="24"/>
        </w:rPr>
        <w:t>於修法前若</w:t>
      </w:r>
      <w:proofErr w:type="gramStart"/>
      <w:r w:rsidR="001B63A6" w:rsidRPr="00F27425">
        <w:rPr>
          <w:rFonts w:ascii="標楷體" w:eastAsia="標楷體" w:hAnsi="標楷體" w:hint="eastAsia"/>
          <w:szCs w:val="24"/>
        </w:rPr>
        <w:t>一</w:t>
      </w:r>
      <w:proofErr w:type="gramEnd"/>
      <w:r w:rsidR="001B63A6" w:rsidRPr="00F27425">
        <w:rPr>
          <w:rFonts w:ascii="標楷體" w:eastAsia="標楷體" w:hAnsi="標楷體" w:hint="eastAsia"/>
          <w:szCs w:val="24"/>
        </w:rPr>
        <w:t>債務人對</w:t>
      </w:r>
      <w:r w:rsidR="001B63A6" w:rsidRPr="00F27425">
        <w:rPr>
          <w:rFonts w:ascii="標楷體" w:eastAsia="標楷體" w:hAnsi="標楷體" w:hint="eastAsia"/>
          <w:szCs w:val="24"/>
        </w:rPr>
        <w:lastRenderedPageBreak/>
        <w:t>於具有既判例之確定支付命令提起再審</w:t>
      </w:r>
      <w:r w:rsidR="001B63A6" w:rsidRPr="00F27425">
        <w:rPr>
          <w:rFonts w:ascii="標楷體" w:eastAsia="標楷體" w:hAnsi="標楷體"/>
          <w:szCs w:val="24"/>
        </w:rPr>
        <w:t>，</w:t>
      </w:r>
      <w:r w:rsidR="001B63A6" w:rsidRPr="00F27425">
        <w:rPr>
          <w:rFonts w:ascii="標楷體" w:eastAsia="標楷體" w:hAnsi="標楷體" w:hint="eastAsia"/>
          <w:szCs w:val="24"/>
        </w:rPr>
        <w:t>實無救濟之可能(理由同上述)</w:t>
      </w:r>
      <w:r w:rsidR="001B63A6" w:rsidRPr="00F27425">
        <w:rPr>
          <w:rFonts w:ascii="標楷體" w:eastAsia="標楷體" w:hAnsi="標楷體"/>
          <w:szCs w:val="24"/>
        </w:rPr>
        <w:t>，</w:t>
      </w:r>
      <w:r w:rsidR="001B63A6" w:rsidRPr="00F27425">
        <w:rPr>
          <w:rFonts w:ascii="標楷體" w:eastAsia="標楷體" w:hAnsi="標楷體" w:hint="eastAsia"/>
          <w:szCs w:val="24"/>
        </w:rPr>
        <w:t>有鑒於此</w:t>
      </w:r>
      <w:r w:rsidR="001B63A6" w:rsidRPr="00F27425">
        <w:rPr>
          <w:rFonts w:ascii="標楷體" w:eastAsia="標楷體" w:hAnsi="標楷體"/>
          <w:szCs w:val="24"/>
        </w:rPr>
        <w:t>，</w:t>
      </w:r>
      <w:r w:rsidR="001B63A6" w:rsidRPr="00F27425">
        <w:rPr>
          <w:rFonts w:ascii="標楷體" w:eastAsia="標楷體" w:hAnsi="標楷體" w:hint="eastAsia"/>
          <w:szCs w:val="24"/>
        </w:rPr>
        <w:t>立法者始新增訂專屬於修法前已確定支付命之再審事由。惟未顧及法之安定性</w:t>
      </w:r>
      <w:r w:rsidR="001B63A6" w:rsidRPr="00F27425">
        <w:rPr>
          <w:rFonts w:ascii="標楷體" w:eastAsia="標楷體" w:hAnsi="標楷體"/>
          <w:szCs w:val="24"/>
        </w:rPr>
        <w:t>，</w:t>
      </w:r>
      <w:r w:rsidR="005D5E62" w:rsidRPr="00F27425">
        <w:rPr>
          <w:rFonts w:ascii="標楷體" w:eastAsia="標楷體" w:hAnsi="標楷體" w:hint="eastAsia"/>
          <w:szCs w:val="24"/>
        </w:rPr>
        <w:t>立法者對於就有救濟必較之支付命令限於修法後兩年後提出。</w:t>
      </w:r>
    </w:p>
    <w:p w14:paraId="3A33D29F" w14:textId="77777777" w:rsidR="001B63A6" w:rsidRPr="00F27425" w:rsidRDefault="001B63A6" w:rsidP="007A4DCC">
      <w:pPr>
        <w:pStyle w:val="a3"/>
        <w:ind w:leftChars="0"/>
        <w:jc w:val="both"/>
        <w:rPr>
          <w:rFonts w:ascii="標楷體" w:eastAsia="標楷體" w:hAnsi="標楷體"/>
          <w:szCs w:val="24"/>
        </w:rPr>
      </w:pPr>
    </w:p>
    <w:p w14:paraId="7123E518" w14:textId="77777777" w:rsidR="00AA4E66" w:rsidRPr="00F27425" w:rsidRDefault="00AA4E66" w:rsidP="007A4DCC">
      <w:pPr>
        <w:pStyle w:val="a3"/>
        <w:numPr>
          <w:ilvl w:val="0"/>
          <w:numId w:val="28"/>
        </w:numPr>
        <w:ind w:leftChars="0"/>
        <w:jc w:val="both"/>
        <w:rPr>
          <w:rFonts w:ascii="標楷體" w:eastAsia="標楷體" w:hAnsi="標楷體"/>
          <w:szCs w:val="24"/>
        </w:rPr>
      </w:pPr>
      <w:r w:rsidRPr="00F27425">
        <w:rPr>
          <w:rFonts w:ascii="標楷體" w:eastAsia="標楷體" w:hAnsi="標楷體" w:hint="eastAsia"/>
          <w:szCs w:val="24"/>
        </w:rPr>
        <w:t>小結</w:t>
      </w:r>
    </w:p>
    <w:p w14:paraId="12FC630B" w14:textId="72B0AF70" w:rsidR="00CA5D8B" w:rsidRPr="00FC54FB" w:rsidRDefault="001B63A6" w:rsidP="00D42A60">
      <w:pPr>
        <w:pStyle w:val="a3"/>
        <w:ind w:leftChars="0" w:firstLineChars="200" w:firstLine="480"/>
        <w:jc w:val="both"/>
        <w:rPr>
          <w:rFonts w:ascii="標楷體" w:eastAsia="標楷體" w:hAnsi="標楷體"/>
          <w:szCs w:val="24"/>
        </w:rPr>
      </w:pPr>
      <w:r w:rsidRPr="00FC54FB">
        <w:rPr>
          <w:rFonts w:ascii="標楷體" w:eastAsia="標楷體" w:hAnsi="標楷體" w:hint="eastAsia"/>
          <w:szCs w:val="24"/>
        </w:rPr>
        <w:t>綜上所比較</w:t>
      </w:r>
      <w:r w:rsidRPr="00FC54FB">
        <w:rPr>
          <w:rFonts w:ascii="標楷體" w:eastAsia="標楷體" w:hAnsi="標楷體"/>
          <w:szCs w:val="24"/>
        </w:rPr>
        <w:t>，</w:t>
      </w:r>
      <w:proofErr w:type="gramStart"/>
      <w:r w:rsidR="005D5E62" w:rsidRPr="00FC54FB">
        <w:rPr>
          <w:rFonts w:ascii="標楷體" w:eastAsia="標楷體" w:hAnsi="標楷體" w:hint="eastAsia"/>
          <w:szCs w:val="24"/>
        </w:rPr>
        <w:t>就舊法</w:t>
      </w:r>
      <w:proofErr w:type="gramEnd"/>
      <w:r w:rsidR="005D5E62" w:rsidRPr="00FC54FB">
        <w:rPr>
          <w:rFonts w:ascii="標楷體" w:eastAsia="標楷體" w:hAnsi="標楷體" w:hint="eastAsia"/>
          <w:szCs w:val="24"/>
        </w:rPr>
        <w:t>時期確定支付命具有</w:t>
      </w:r>
      <w:proofErr w:type="gramStart"/>
      <w:r w:rsidR="005D5E62" w:rsidRPr="00FC54FB">
        <w:rPr>
          <w:rFonts w:ascii="標楷體" w:eastAsia="標楷體" w:hAnsi="標楷體" w:hint="eastAsia"/>
          <w:szCs w:val="24"/>
        </w:rPr>
        <w:t>既判力</w:t>
      </w:r>
      <w:proofErr w:type="gramEnd"/>
      <w:r w:rsidR="005D5E62" w:rsidRPr="00FC54FB">
        <w:rPr>
          <w:rFonts w:ascii="標楷體" w:eastAsia="標楷體" w:hAnsi="標楷體" w:hint="eastAsia"/>
          <w:szCs w:val="24"/>
        </w:rPr>
        <w:t>性質而言</w:t>
      </w:r>
      <w:r w:rsidR="005D5E62" w:rsidRPr="00FC54FB">
        <w:rPr>
          <w:rFonts w:ascii="標楷體" w:eastAsia="標楷體" w:hAnsi="標楷體"/>
          <w:szCs w:val="24"/>
        </w:rPr>
        <w:t>，</w:t>
      </w:r>
      <w:r w:rsidR="005D5E62" w:rsidRPr="00FC54FB">
        <w:rPr>
          <w:rFonts w:ascii="標楷體" w:eastAsia="標楷體" w:hAnsi="標楷體" w:hint="eastAsia"/>
          <w:szCs w:val="24"/>
        </w:rPr>
        <w:t>已</w:t>
      </w:r>
      <w:proofErr w:type="gramStart"/>
      <w:r w:rsidR="005D5E62" w:rsidRPr="00FC54FB">
        <w:rPr>
          <w:rFonts w:ascii="標楷體" w:eastAsia="標楷體" w:hAnsi="標楷體" w:hint="eastAsia"/>
          <w:szCs w:val="24"/>
        </w:rPr>
        <w:t>清楚</w:t>
      </w:r>
      <w:r w:rsidR="002F03DF">
        <w:rPr>
          <w:rFonts w:ascii="標楷體" w:eastAsia="標楷體" w:hAnsi="標楷體" w:hint="eastAsia"/>
          <w:szCs w:val="24"/>
        </w:rPr>
        <w:t>的</w:t>
      </w:r>
      <w:proofErr w:type="gramEnd"/>
      <w:r w:rsidR="005D5E62" w:rsidRPr="00FC54FB">
        <w:rPr>
          <w:rFonts w:ascii="標楷體" w:eastAsia="標楷體" w:hAnsi="標楷體" w:hint="eastAsia"/>
          <w:szCs w:val="24"/>
        </w:rPr>
        <w:t>揭示了若</w:t>
      </w:r>
      <w:proofErr w:type="gramStart"/>
      <w:r w:rsidR="005D5E62" w:rsidRPr="00FC54FB">
        <w:rPr>
          <w:rFonts w:ascii="標楷體" w:eastAsia="標楷體" w:hAnsi="標楷體" w:hint="eastAsia"/>
          <w:szCs w:val="24"/>
        </w:rPr>
        <w:t>一</w:t>
      </w:r>
      <w:proofErr w:type="gramEnd"/>
      <w:r w:rsidR="005D5E62" w:rsidRPr="00FC54FB">
        <w:rPr>
          <w:rFonts w:ascii="標楷體" w:eastAsia="標楷體" w:hAnsi="標楷體" w:hint="eastAsia"/>
          <w:szCs w:val="24"/>
        </w:rPr>
        <w:t>債務人未於不變期間內提出異議</w:t>
      </w:r>
      <w:r w:rsidR="005D5E62" w:rsidRPr="00FC54FB">
        <w:rPr>
          <w:rFonts w:ascii="標楷體" w:eastAsia="標楷體" w:hAnsi="標楷體"/>
          <w:szCs w:val="24"/>
        </w:rPr>
        <w:t>，</w:t>
      </w:r>
      <w:r w:rsidR="00792D50" w:rsidRPr="00FC54FB">
        <w:rPr>
          <w:rFonts w:ascii="標楷體" w:eastAsia="標楷體" w:hAnsi="標楷體" w:hint="eastAsia"/>
          <w:szCs w:val="24"/>
        </w:rPr>
        <w:t>實無任何救濟之可能。一旦支付命令為確定</w:t>
      </w:r>
      <w:r w:rsidR="00792D50" w:rsidRPr="00FC54FB">
        <w:rPr>
          <w:rFonts w:ascii="標楷體" w:eastAsia="標楷體" w:hAnsi="標楷體"/>
          <w:szCs w:val="24"/>
        </w:rPr>
        <w:t>，</w:t>
      </w:r>
      <w:r w:rsidR="00792D50" w:rsidRPr="00FC54FB">
        <w:rPr>
          <w:rFonts w:ascii="標楷體" w:eastAsia="標楷體" w:hAnsi="標楷體" w:hint="eastAsia"/>
          <w:szCs w:val="24"/>
        </w:rPr>
        <w:t>縱使實際上可能根本不存在之債權債務關係或已嚴重背離實體正義</w:t>
      </w:r>
      <w:r w:rsidR="00792D50" w:rsidRPr="00FC54FB">
        <w:rPr>
          <w:rFonts w:ascii="標楷體" w:eastAsia="標楷體" w:hAnsi="標楷體"/>
          <w:szCs w:val="24"/>
        </w:rPr>
        <w:t>，</w:t>
      </w:r>
      <w:r w:rsidR="00792D50" w:rsidRPr="00FC54FB">
        <w:rPr>
          <w:rFonts w:ascii="標楷體" w:eastAsia="標楷體" w:hAnsi="標楷體" w:hint="eastAsia"/>
          <w:szCs w:val="24"/>
        </w:rPr>
        <w:t>在法律上仍會受到與確定判決同一效力之影響而受到法院之背書</w:t>
      </w:r>
      <w:r w:rsidR="00044678" w:rsidRPr="00FC54FB">
        <w:rPr>
          <w:rFonts w:ascii="標楷體" w:eastAsia="標楷體" w:hAnsi="標楷體" w:hint="eastAsia"/>
          <w:szCs w:val="24"/>
        </w:rPr>
        <w:t>。進而言之</w:t>
      </w:r>
      <w:r w:rsidR="00044678" w:rsidRPr="00FC54FB">
        <w:rPr>
          <w:rFonts w:ascii="標楷體" w:eastAsia="標楷體" w:hAnsi="標楷體"/>
          <w:szCs w:val="24"/>
        </w:rPr>
        <w:t>，</w:t>
      </w:r>
      <w:r w:rsidR="00044678" w:rsidRPr="00FC54FB">
        <w:rPr>
          <w:rFonts w:ascii="標楷體" w:eastAsia="標楷體" w:hAnsi="標楷體" w:hint="eastAsia"/>
          <w:szCs w:val="24"/>
        </w:rPr>
        <w:t>立法者於修法理由提及之社會問題</w:t>
      </w:r>
      <w:r w:rsidR="00044678" w:rsidRPr="00FC54FB">
        <w:rPr>
          <w:rFonts w:ascii="標楷體" w:eastAsia="標楷體" w:hAnsi="標楷體"/>
          <w:szCs w:val="24"/>
        </w:rPr>
        <w:t>，</w:t>
      </w:r>
      <w:r w:rsidR="00044678" w:rsidRPr="00FC54FB">
        <w:rPr>
          <w:rFonts w:ascii="標楷體" w:eastAsia="標楷體" w:hAnsi="標楷體" w:hint="eastAsia"/>
          <w:szCs w:val="24"/>
        </w:rPr>
        <w:t>追究其</w:t>
      </w:r>
      <w:proofErr w:type="gramStart"/>
      <w:r w:rsidR="00044678" w:rsidRPr="00FC54FB">
        <w:rPr>
          <w:rFonts w:ascii="標楷體" w:eastAsia="標楷體" w:hAnsi="標楷體" w:hint="eastAsia"/>
          <w:szCs w:val="24"/>
        </w:rPr>
        <w:t>抵多為受詐害</w:t>
      </w:r>
      <w:proofErr w:type="gramEnd"/>
      <w:r w:rsidR="00044678" w:rsidRPr="00FC54FB">
        <w:rPr>
          <w:rFonts w:ascii="標楷體" w:eastAsia="標楷體" w:hAnsi="標楷體" w:hint="eastAsia"/>
          <w:szCs w:val="24"/>
        </w:rPr>
        <w:t>之債務人認為其債權根本的不存在</w:t>
      </w:r>
      <w:r w:rsidR="00044678" w:rsidRPr="00FC54FB">
        <w:rPr>
          <w:rFonts w:ascii="標楷體" w:eastAsia="標楷體" w:hAnsi="標楷體"/>
          <w:szCs w:val="24"/>
        </w:rPr>
        <w:t>，</w:t>
      </w:r>
      <w:r w:rsidR="00044678" w:rsidRPr="00FC54FB">
        <w:rPr>
          <w:rFonts w:ascii="標楷體" w:eastAsia="標楷體" w:hAnsi="標楷體" w:hint="eastAsia"/>
          <w:szCs w:val="24"/>
        </w:rPr>
        <w:t>而於受領支付命令後未為理會</w:t>
      </w:r>
      <w:r w:rsidR="00044678" w:rsidRPr="00FC54FB">
        <w:rPr>
          <w:rFonts w:ascii="標楷體" w:eastAsia="標楷體" w:hAnsi="標楷體"/>
          <w:szCs w:val="24"/>
        </w:rPr>
        <w:t>，</w:t>
      </w:r>
      <w:proofErr w:type="gramStart"/>
      <w:r w:rsidR="00044678" w:rsidRPr="00FC54FB">
        <w:rPr>
          <w:rFonts w:ascii="標楷體" w:eastAsia="標楷體" w:hAnsi="標楷體" w:hint="eastAsia"/>
          <w:szCs w:val="24"/>
        </w:rPr>
        <w:t>直至假債權</w:t>
      </w:r>
      <w:proofErr w:type="gramEnd"/>
      <w:r w:rsidR="00044678" w:rsidRPr="00FC54FB">
        <w:rPr>
          <w:rFonts w:ascii="標楷體" w:eastAsia="標楷體" w:hAnsi="標楷體" w:hint="eastAsia"/>
          <w:szCs w:val="24"/>
        </w:rPr>
        <w:t>持受到法院背書之假債權之支付命令</w:t>
      </w:r>
      <w:r w:rsidR="00044678" w:rsidRPr="00FC54FB">
        <w:rPr>
          <w:rFonts w:ascii="標楷體" w:eastAsia="標楷體" w:hAnsi="標楷體"/>
          <w:szCs w:val="24"/>
        </w:rPr>
        <w:t>，</w:t>
      </w:r>
      <w:r w:rsidR="00044678" w:rsidRPr="00FC54FB">
        <w:rPr>
          <w:rFonts w:ascii="標楷體" w:eastAsia="標楷體" w:hAnsi="標楷體" w:hint="eastAsia"/>
          <w:szCs w:val="24"/>
        </w:rPr>
        <w:t>聲請強制執行時</w:t>
      </w:r>
      <w:r w:rsidR="00044678" w:rsidRPr="00FC54FB">
        <w:rPr>
          <w:rFonts w:ascii="標楷體" w:eastAsia="標楷體" w:hAnsi="標楷體"/>
          <w:szCs w:val="24"/>
        </w:rPr>
        <w:t>，</w:t>
      </w:r>
      <w:r w:rsidR="00044678" w:rsidRPr="00FC54FB">
        <w:rPr>
          <w:rFonts w:ascii="標楷體" w:eastAsia="標楷體" w:hAnsi="標楷體" w:hint="eastAsia"/>
          <w:szCs w:val="24"/>
        </w:rPr>
        <w:t>始為異議。</w:t>
      </w:r>
      <w:r w:rsidR="000A39DC" w:rsidRPr="00FC54FB">
        <w:rPr>
          <w:rFonts w:ascii="標楷體" w:eastAsia="標楷體" w:hAnsi="標楷體" w:hint="eastAsia"/>
          <w:szCs w:val="24"/>
        </w:rPr>
        <w:t>然</w:t>
      </w:r>
      <w:r w:rsidR="00044678" w:rsidRPr="00FC54FB">
        <w:rPr>
          <w:rFonts w:ascii="標楷體" w:eastAsia="標楷體" w:hAnsi="標楷體" w:hint="eastAsia"/>
          <w:szCs w:val="24"/>
        </w:rPr>
        <w:t>因上所述之原因</w:t>
      </w:r>
      <w:r w:rsidR="00044678" w:rsidRPr="00FC54FB">
        <w:rPr>
          <w:rFonts w:ascii="標楷體" w:eastAsia="標楷體" w:hAnsi="標楷體"/>
          <w:szCs w:val="24"/>
        </w:rPr>
        <w:t>，</w:t>
      </w:r>
      <w:proofErr w:type="gramStart"/>
      <w:r w:rsidR="00044678" w:rsidRPr="00FC54FB">
        <w:rPr>
          <w:rFonts w:ascii="標楷體" w:eastAsia="標楷體" w:hAnsi="標楷體" w:hint="eastAsia"/>
          <w:szCs w:val="24"/>
        </w:rPr>
        <w:t>受詐害</w:t>
      </w:r>
      <w:proofErr w:type="gramEnd"/>
      <w:r w:rsidR="00044678" w:rsidRPr="00FC54FB">
        <w:rPr>
          <w:rFonts w:ascii="標楷體" w:eastAsia="標楷體" w:hAnsi="標楷體" w:hint="eastAsia"/>
          <w:szCs w:val="24"/>
        </w:rPr>
        <w:t>之債務人實無任何救濟之可能</w:t>
      </w:r>
      <w:r w:rsidR="00044678" w:rsidRPr="00FC54FB">
        <w:rPr>
          <w:rFonts w:ascii="標楷體" w:eastAsia="標楷體" w:hAnsi="標楷體"/>
          <w:szCs w:val="24"/>
        </w:rPr>
        <w:t>，</w:t>
      </w:r>
      <w:r w:rsidR="00044678" w:rsidRPr="00FC54FB">
        <w:rPr>
          <w:rFonts w:ascii="標楷體" w:eastAsia="標楷體" w:hAnsi="標楷體" w:hint="eastAsia"/>
          <w:szCs w:val="24"/>
        </w:rPr>
        <w:t>僅能任憑假債權人處分其財產。</w:t>
      </w:r>
      <w:proofErr w:type="gramStart"/>
      <w:r w:rsidR="00044678" w:rsidRPr="00FC54FB">
        <w:rPr>
          <w:rFonts w:ascii="標楷體" w:eastAsia="標楷體" w:hAnsi="標楷體" w:hint="eastAsia"/>
          <w:szCs w:val="24"/>
        </w:rPr>
        <w:t>爰</w:t>
      </w:r>
      <w:proofErr w:type="gramEnd"/>
      <w:r w:rsidR="00044678" w:rsidRPr="00FC54FB">
        <w:rPr>
          <w:rFonts w:ascii="標楷體" w:eastAsia="標楷體" w:hAnsi="標楷體" w:hint="eastAsia"/>
          <w:szCs w:val="24"/>
        </w:rPr>
        <w:t>此，立法者</w:t>
      </w:r>
      <w:r w:rsidR="000A39DC" w:rsidRPr="00FC54FB">
        <w:rPr>
          <w:rFonts w:ascii="標楷體" w:eastAsia="標楷體" w:hAnsi="標楷體" w:hint="eastAsia"/>
          <w:szCs w:val="24"/>
        </w:rPr>
        <w:t>於民國104年修法時將原確定支付命之</w:t>
      </w:r>
      <w:proofErr w:type="gramStart"/>
      <w:r w:rsidR="000A39DC" w:rsidRPr="00FC54FB">
        <w:rPr>
          <w:rFonts w:ascii="標楷體" w:eastAsia="標楷體" w:hAnsi="標楷體" w:hint="eastAsia"/>
          <w:szCs w:val="24"/>
        </w:rPr>
        <w:t>既判力</w:t>
      </w:r>
      <w:proofErr w:type="gramEnd"/>
      <w:r w:rsidR="000A39DC" w:rsidRPr="00FC54FB">
        <w:rPr>
          <w:rFonts w:ascii="標楷體" w:eastAsia="標楷體" w:hAnsi="標楷體" w:hint="eastAsia"/>
          <w:szCs w:val="24"/>
        </w:rPr>
        <w:t>修訂僅具執行力，</w:t>
      </w:r>
      <w:r w:rsidR="00DE40F1" w:rsidRPr="00FC54FB">
        <w:rPr>
          <w:rFonts w:ascii="標楷體" w:eastAsia="標楷體" w:hAnsi="標楷體" w:hint="eastAsia"/>
          <w:szCs w:val="24"/>
        </w:rPr>
        <w:t>期望透過</w:t>
      </w:r>
      <w:proofErr w:type="gramStart"/>
      <w:r w:rsidR="00DE40F1" w:rsidRPr="00FC54FB">
        <w:rPr>
          <w:rFonts w:ascii="標楷體" w:eastAsia="標楷體" w:hAnsi="標楷體" w:hint="eastAsia"/>
          <w:szCs w:val="24"/>
        </w:rPr>
        <w:t>既判力</w:t>
      </w:r>
      <w:proofErr w:type="gramEnd"/>
      <w:r w:rsidR="00DE40F1" w:rsidRPr="00FC54FB">
        <w:rPr>
          <w:rFonts w:ascii="標楷體" w:eastAsia="標楷體" w:hAnsi="標楷體" w:hint="eastAsia"/>
          <w:szCs w:val="24"/>
        </w:rPr>
        <w:t>的除去，</w:t>
      </w:r>
      <w:r w:rsidR="000F2FC0" w:rsidRPr="00FC54FB">
        <w:rPr>
          <w:rFonts w:ascii="標楷體" w:eastAsia="標楷體" w:hAnsi="標楷體" w:hint="eastAsia"/>
          <w:szCs w:val="24"/>
        </w:rPr>
        <w:t>縮小救濟訴訟遭法院駁回之空間，進而確立救濟途徑。直至目前，據</w:t>
      </w:r>
      <w:r w:rsidR="00DE40F1" w:rsidRPr="00FC54FB">
        <w:rPr>
          <w:rFonts w:ascii="標楷體" w:eastAsia="標楷體" w:hAnsi="標楷體" w:hint="eastAsia"/>
          <w:szCs w:val="24"/>
        </w:rPr>
        <w:t>各地各層級之法院所為之各判決，較舊法時期已</w:t>
      </w:r>
      <w:proofErr w:type="gramStart"/>
      <w:r w:rsidR="00DE40F1" w:rsidRPr="00FC54FB">
        <w:rPr>
          <w:rFonts w:ascii="標楷體" w:eastAsia="標楷體" w:hAnsi="標楷體" w:hint="eastAsia"/>
          <w:szCs w:val="24"/>
        </w:rPr>
        <w:t>臻</w:t>
      </w:r>
      <w:proofErr w:type="gramEnd"/>
      <w:r w:rsidR="00DE40F1" w:rsidRPr="00FC54FB">
        <w:rPr>
          <w:rFonts w:ascii="標楷體" w:eastAsia="標楷體" w:hAnsi="標楷體" w:hint="eastAsia"/>
          <w:szCs w:val="24"/>
        </w:rPr>
        <w:t>確定，雖仍有許多救濟訴訟遭發法院駁回，但若</w:t>
      </w:r>
      <w:proofErr w:type="gramStart"/>
      <w:r w:rsidR="00DE40F1" w:rsidRPr="00FC54FB">
        <w:rPr>
          <w:rFonts w:ascii="標楷體" w:eastAsia="標楷體" w:hAnsi="標楷體" w:hint="eastAsia"/>
          <w:szCs w:val="24"/>
        </w:rPr>
        <w:t>深入探</w:t>
      </w:r>
      <w:proofErr w:type="gramEnd"/>
      <w:r w:rsidR="00DE40F1" w:rsidRPr="00FC54FB">
        <w:rPr>
          <w:rFonts w:ascii="標楷體" w:eastAsia="標楷體" w:hAnsi="標楷體" w:hint="eastAsia"/>
          <w:szCs w:val="24"/>
        </w:rPr>
        <w:t>之仍不難</w:t>
      </w:r>
      <w:proofErr w:type="gramStart"/>
      <w:r w:rsidR="00DE40F1" w:rsidRPr="00FC54FB">
        <w:rPr>
          <w:rFonts w:ascii="標楷體" w:eastAsia="標楷體" w:hAnsi="標楷體" w:hint="eastAsia"/>
          <w:szCs w:val="24"/>
        </w:rPr>
        <w:t>發見受</w:t>
      </w:r>
      <w:proofErr w:type="gramEnd"/>
      <w:r w:rsidR="00DE40F1" w:rsidRPr="00FC54FB">
        <w:rPr>
          <w:rFonts w:ascii="標楷體" w:eastAsia="標楷體" w:hAnsi="標楷體" w:hint="eastAsia"/>
          <w:szCs w:val="24"/>
        </w:rPr>
        <w:t>法院駁回之原因多屬實體法律關係於辯論程</w:t>
      </w:r>
      <w:r w:rsidR="00F95F7E" w:rsidRPr="00FC54FB">
        <w:rPr>
          <w:rFonts w:ascii="標楷體" w:eastAsia="標楷體" w:hAnsi="標楷體" w:hint="eastAsia"/>
          <w:szCs w:val="24"/>
        </w:rPr>
        <w:t>續舉證不足之原因。</w:t>
      </w:r>
      <w:r w:rsidR="00DE40F1" w:rsidRPr="00FC54FB">
        <w:rPr>
          <w:rFonts w:ascii="標楷體" w:eastAsia="標楷體" w:hAnsi="標楷體" w:hint="eastAsia"/>
          <w:szCs w:val="24"/>
        </w:rPr>
        <w:t>換言之，修法後</w:t>
      </w:r>
      <w:r w:rsidR="00F95F7E" w:rsidRPr="00FC54FB">
        <w:rPr>
          <w:rFonts w:ascii="標楷體" w:eastAsia="標楷體" w:hAnsi="標楷體" w:hint="eastAsia"/>
          <w:szCs w:val="24"/>
        </w:rPr>
        <w:t>法院</w:t>
      </w:r>
      <w:r w:rsidR="00DE40F1" w:rsidRPr="00FC54FB">
        <w:rPr>
          <w:rFonts w:ascii="標楷體" w:eastAsia="標楷體" w:hAnsi="標楷體" w:hint="eastAsia"/>
          <w:szCs w:val="24"/>
        </w:rPr>
        <w:t>進入救濟程序之阻力已減少許多，法院也較無形式上理由而為駁回</w:t>
      </w:r>
      <w:r w:rsidR="00F95F7E" w:rsidRPr="00FC54FB">
        <w:rPr>
          <w:rFonts w:ascii="標楷體" w:eastAsia="標楷體" w:hAnsi="標楷體" w:hint="eastAsia"/>
          <w:szCs w:val="24"/>
        </w:rPr>
        <w:t>。</w:t>
      </w:r>
    </w:p>
    <w:p w14:paraId="77704A66" w14:textId="77777777" w:rsidR="00044678" w:rsidRPr="00F27425" w:rsidRDefault="00CA5D8B" w:rsidP="007A4DCC">
      <w:pPr>
        <w:widowControl/>
        <w:jc w:val="both"/>
        <w:rPr>
          <w:rFonts w:ascii="標楷體" w:eastAsia="標楷體" w:hAnsi="標楷體"/>
          <w:szCs w:val="24"/>
        </w:rPr>
      </w:pPr>
      <w:r w:rsidRPr="00F27425">
        <w:rPr>
          <w:rFonts w:ascii="標楷體" w:eastAsia="標楷體" w:hAnsi="標楷體"/>
          <w:szCs w:val="24"/>
        </w:rPr>
        <w:br w:type="page"/>
      </w:r>
    </w:p>
    <w:p w14:paraId="29E32E1B" w14:textId="77777777" w:rsidR="00CA5D8B" w:rsidRPr="00F27425" w:rsidRDefault="00CA5D8B" w:rsidP="00D26E5B">
      <w:pPr>
        <w:pStyle w:val="a3"/>
        <w:numPr>
          <w:ilvl w:val="0"/>
          <w:numId w:val="46"/>
        </w:numPr>
        <w:ind w:leftChars="0"/>
        <w:jc w:val="both"/>
        <w:rPr>
          <w:rFonts w:ascii="標楷體" w:eastAsia="標楷體" w:hAnsi="標楷體"/>
          <w:szCs w:val="24"/>
        </w:rPr>
      </w:pPr>
      <w:r w:rsidRPr="00F27425">
        <w:rPr>
          <w:rFonts w:ascii="標楷體" w:eastAsia="標楷體" w:hAnsi="標楷體"/>
          <w:szCs w:val="24"/>
        </w:rPr>
        <w:lastRenderedPageBreak/>
        <w:t>督促程序修法之意見之探討</w:t>
      </w:r>
    </w:p>
    <w:p w14:paraId="0B6C8FD0" w14:textId="77777777" w:rsidR="00CA5D8B" w:rsidRPr="00F27425" w:rsidRDefault="00CA5D8B" w:rsidP="007A4DCC">
      <w:pPr>
        <w:pStyle w:val="a3"/>
        <w:ind w:leftChars="0"/>
        <w:jc w:val="both"/>
        <w:rPr>
          <w:rFonts w:ascii="標楷體" w:eastAsia="標楷體" w:hAnsi="標楷體"/>
          <w:szCs w:val="24"/>
        </w:rPr>
      </w:pPr>
    </w:p>
    <w:p w14:paraId="5ED5D569" w14:textId="77777777" w:rsidR="007711C9" w:rsidRPr="00F27425" w:rsidRDefault="007711C9" w:rsidP="007A4DCC">
      <w:pPr>
        <w:pStyle w:val="a3"/>
        <w:numPr>
          <w:ilvl w:val="0"/>
          <w:numId w:val="31"/>
        </w:numPr>
        <w:ind w:leftChars="0"/>
        <w:jc w:val="both"/>
        <w:rPr>
          <w:rFonts w:ascii="標楷體" w:eastAsia="標楷體" w:hAnsi="標楷體"/>
          <w:szCs w:val="24"/>
        </w:rPr>
      </w:pPr>
      <w:r w:rsidRPr="00F27425">
        <w:rPr>
          <w:rFonts w:ascii="標楷體" w:eastAsia="標楷體" w:hAnsi="標楷體" w:hint="eastAsia"/>
          <w:szCs w:val="24"/>
        </w:rPr>
        <w:t>修法否定論之見解</w:t>
      </w:r>
    </w:p>
    <w:p w14:paraId="4C68F57C" w14:textId="05C670D9" w:rsidR="00002657" w:rsidRPr="00F27425" w:rsidRDefault="007711C9" w:rsidP="00D42A60">
      <w:pPr>
        <w:pStyle w:val="a3"/>
        <w:ind w:leftChars="0" w:firstLineChars="200" w:firstLine="480"/>
        <w:jc w:val="both"/>
        <w:rPr>
          <w:rFonts w:ascii="標楷體" w:eastAsia="標楷體" w:hAnsi="標楷體"/>
          <w:kern w:val="0"/>
          <w:szCs w:val="24"/>
        </w:rPr>
      </w:pPr>
      <w:r w:rsidRPr="00F27425">
        <w:rPr>
          <w:rFonts w:ascii="標楷體" w:eastAsia="標楷體" w:hAnsi="標楷體" w:hint="eastAsia"/>
          <w:szCs w:val="24"/>
        </w:rPr>
        <w:t>持否定論見解之學者</w:t>
      </w:r>
      <w:r w:rsidRPr="00F27425">
        <w:rPr>
          <w:rFonts w:ascii="標楷體" w:eastAsia="標楷體" w:hAnsi="標楷體" w:hint="eastAsia"/>
          <w:kern w:val="0"/>
          <w:szCs w:val="24"/>
        </w:rPr>
        <w:t>，</w:t>
      </w:r>
      <w:r w:rsidR="000F2FC0">
        <w:rPr>
          <w:rFonts w:ascii="標楷體" w:eastAsia="標楷體" w:hAnsi="標楷體" w:hint="eastAsia"/>
          <w:kern w:val="0"/>
          <w:szCs w:val="24"/>
        </w:rPr>
        <w:t>多認為仍應維持支付命令之</w:t>
      </w:r>
      <w:proofErr w:type="gramStart"/>
      <w:r w:rsidR="000F2FC0">
        <w:rPr>
          <w:rFonts w:ascii="標楷體" w:eastAsia="標楷體" w:hAnsi="標楷體" w:hint="eastAsia"/>
          <w:kern w:val="0"/>
          <w:szCs w:val="24"/>
        </w:rPr>
        <w:t>既判力</w:t>
      </w:r>
      <w:proofErr w:type="gramEnd"/>
      <w:r w:rsidR="000F2FC0">
        <w:rPr>
          <w:rFonts w:ascii="標楷體" w:eastAsia="標楷體" w:hAnsi="標楷體" w:hint="eastAsia"/>
          <w:kern w:val="0"/>
          <w:szCs w:val="24"/>
        </w:rPr>
        <w:t>及執行力，</w:t>
      </w:r>
      <w:r w:rsidR="00092D34" w:rsidRPr="00F27425">
        <w:rPr>
          <w:rFonts w:ascii="標楷體" w:eastAsia="標楷體" w:hAnsi="標楷體" w:hint="eastAsia"/>
          <w:kern w:val="0"/>
          <w:szCs w:val="24"/>
        </w:rPr>
        <w:t>原所立之督促程序，以賦予當事人程序保障，</w:t>
      </w:r>
      <w:proofErr w:type="gramStart"/>
      <w:r w:rsidR="00092D34" w:rsidRPr="00F27425">
        <w:rPr>
          <w:rFonts w:ascii="標楷體" w:eastAsia="標楷體" w:hAnsi="標楷體" w:hint="eastAsia"/>
          <w:kern w:val="0"/>
          <w:szCs w:val="24"/>
        </w:rPr>
        <w:t>均有救濟</w:t>
      </w:r>
      <w:proofErr w:type="gramEnd"/>
      <w:r w:rsidR="00092D34" w:rsidRPr="00F27425">
        <w:rPr>
          <w:rFonts w:ascii="標楷體" w:eastAsia="標楷體" w:hAnsi="標楷體" w:hint="eastAsia"/>
          <w:kern w:val="0"/>
          <w:szCs w:val="24"/>
        </w:rPr>
        <w:t>之途徑，實無修法之必要更無廢除</w:t>
      </w:r>
      <w:proofErr w:type="gramStart"/>
      <w:r w:rsidR="00092D34" w:rsidRPr="00F27425">
        <w:rPr>
          <w:rFonts w:ascii="標楷體" w:eastAsia="標楷體" w:hAnsi="標楷體" w:hint="eastAsia"/>
          <w:kern w:val="0"/>
          <w:szCs w:val="24"/>
        </w:rPr>
        <w:t>既判力</w:t>
      </w:r>
      <w:proofErr w:type="gramEnd"/>
      <w:r w:rsidR="00092D34" w:rsidRPr="00F27425">
        <w:rPr>
          <w:rFonts w:ascii="標楷體" w:eastAsia="標楷體" w:hAnsi="標楷體" w:hint="eastAsia"/>
          <w:kern w:val="0"/>
          <w:szCs w:val="24"/>
        </w:rPr>
        <w:t>之必要。</w:t>
      </w:r>
      <w:r w:rsidR="00002657" w:rsidRPr="00F27425">
        <w:rPr>
          <w:rFonts w:ascii="標楷體" w:eastAsia="標楷體" w:hAnsi="標楷體" w:hint="eastAsia"/>
          <w:kern w:val="0"/>
          <w:szCs w:val="24"/>
        </w:rPr>
        <w:t>其理由如下所述</w:t>
      </w:r>
    </w:p>
    <w:p w14:paraId="719E75CD" w14:textId="77777777" w:rsidR="00002657" w:rsidRPr="00F27425" w:rsidRDefault="00002657" w:rsidP="007A4DCC">
      <w:pPr>
        <w:pStyle w:val="a3"/>
        <w:ind w:leftChars="0"/>
        <w:jc w:val="both"/>
        <w:rPr>
          <w:rFonts w:ascii="標楷體" w:eastAsia="標楷體" w:hAnsi="標楷體"/>
          <w:kern w:val="0"/>
          <w:szCs w:val="24"/>
        </w:rPr>
      </w:pPr>
    </w:p>
    <w:p w14:paraId="671A3EEB" w14:textId="7AADD430" w:rsidR="00002657" w:rsidRPr="00F27425" w:rsidRDefault="00092D34" w:rsidP="00D42A60">
      <w:pPr>
        <w:ind w:leftChars="200" w:left="480" w:firstLineChars="200" w:firstLine="480"/>
        <w:jc w:val="both"/>
        <w:rPr>
          <w:rFonts w:ascii="標楷體" w:eastAsia="標楷體" w:hAnsi="標楷體"/>
          <w:kern w:val="0"/>
          <w:szCs w:val="24"/>
        </w:rPr>
      </w:pPr>
      <w:r w:rsidRPr="00F27425">
        <w:rPr>
          <w:rFonts w:ascii="標楷體" w:eastAsia="標楷體" w:hAnsi="標楷體" w:hint="eastAsia"/>
          <w:kern w:val="0"/>
          <w:szCs w:val="24"/>
        </w:rPr>
        <w:t>有</w:t>
      </w:r>
      <w:r w:rsidR="00E63557" w:rsidRPr="00F27425">
        <w:rPr>
          <w:rFonts w:ascii="標楷體" w:eastAsia="標楷體" w:hAnsi="標楷體" w:hint="eastAsia"/>
          <w:kern w:val="0"/>
          <w:szCs w:val="24"/>
        </w:rPr>
        <w:t>學者</w:t>
      </w:r>
      <w:r w:rsidRPr="00F27425">
        <w:rPr>
          <w:rFonts w:ascii="標楷體" w:eastAsia="標楷體" w:hAnsi="標楷體" w:hint="eastAsia"/>
          <w:kern w:val="0"/>
          <w:szCs w:val="24"/>
        </w:rPr>
        <w:t>認為</w:t>
      </w:r>
      <w:r w:rsidR="00FC54FB">
        <w:rPr>
          <w:rFonts w:ascii="標楷體" w:eastAsia="標楷體" w:hAnsi="標楷體" w:hint="eastAsia"/>
          <w:kern w:val="0"/>
          <w:szCs w:val="24"/>
        </w:rPr>
        <w:t>，如果認為僅因一階段的</w:t>
      </w:r>
      <w:r w:rsidR="00597DD6">
        <w:rPr>
          <w:rFonts w:ascii="標楷體" w:eastAsia="標楷體" w:hAnsi="標楷體" w:hint="eastAsia"/>
          <w:kern w:val="0"/>
          <w:szCs w:val="24"/>
        </w:rPr>
        <w:t>支付命令通知就賦予既判力不足，則在此一</w:t>
      </w:r>
      <w:r w:rsidR="00FC54FB">
        <w:rPr>
          <w:rFonts w:ascii="標楷體" w:eastAsia="標楷體" w:hAnsi="標楷體" w:hint="eastAsia"/>
          <w:kern w:val="0"/>
          <w:szCs w:val="24"/>
        </w:rPr>
        <w:t>癥結點上</w:t>
      </w:r>
      <w:r w:rsidRPr="00F27425">
        <w:rPr>
          <w:rFonts w:ascii="標楷體" w:eastAsia="標楷體" w:hAnsi="標楷體" w:hint="eastAsia"/>
          <w:kern w:val="0"/>
          <w:szCs w:val="24"/>
        </w:rPr>
        <w:t>仍許多方案可行，例如強化支付命令之一貫性審查</w:t>
      </w:r>
      <w:r w:rsidR="00BA1F34" w:rsidRPr="00F27425">
        <w:rPr>
          <w:rFonts w:ascii="標楷體" w:eastAsia="標楷體" w:hAnsi="標楷體" w:hint="eastAsia"/>
          <w:kern w:val="0"/>
          <w:szCs w:val="24"/>
        </w:rPr>
        <w:t>，亦即假定聲請人之請求為真</w:t>
      </w:r>
      <w:r w:rsidR="00002657" w:rsidRPr="00F27425">
        <w:rPr>
          <w:rFonts w:ascii="標楷體" w:eastAsia="標楷體" w:hAnsi="標楷體" w:hint="eastAsia"/>
          <w:kern w:val="0"/>
          <w:szCs w:val="24"/>
        </w:rPr>
        <w:t>，從實體</w:t>
      </w:r>
      <w:r w:rsidR="00BA1F34" w:rsidRPr="00F27425">
        <w:rPr>
          <w:rFonts w:ascii="標楷體" w:eastAsia="標楷體" w:hAnsi="標楷體" w:hint="eastAsia"/>
          <w:kern w:val="0"/>
          <w:szCs w:val="24"/>
        </w:rPr>
        <w:t>法上加以評價之結果，是否足以該當於支撐其請求意旨之權利發聲的要件</w:t>
      </w:r>
      <w:r w:rsidR="00002657" w:rsidRPr="00F27425">
        <w:rPr>
          <w:rFonts w:ascii="標楷體" w:eastAsia="標楷體" w:hAnsi="標楷體" w:hint="eastAsia"/>
          <w:kern w:val="0"/>
          <w:szCs w:val="24"/>
        </w:rPr>
        <w:t>事實，通過一貫性審查，始可核發</w:t>
      </w:r>
      <w:r w:rsidR="00002657" w:rsidRPr="00F27425">
        <w:rPr>
          <w:rStyle w:val="a6"/>
          <w:rFonts w:ascii="標楷體" w:eastAsia="標楷體" w:hAnsi="標楷體"/>
          <w:kern w:val="0"/>
          <w:szCs w:val="24"/>
        </w:rPr>
        <w:footnoteReference w:id="15"/>
      </w:r>
      <w:r w:rsidR="00002657" w:rsidRPr="00F27425">
        <w:rPr>
          <w:rFonts w:ascii="標楷體" w:eastAsia="標楷體" w:hAnsi="標楷體" w:hint="eastAsia"/>
          <w:kern w:val="0"/>
          <w:szCs w:val="24"/>
        </w:rPr>
        <w:t>。</w:t>
      </w:r>
      <w:r w:rsidR="000F2FC0">
        <w:rPr>
          <w:rFonts w:ascii="標楷體" w:eastAsia="標楷體" w:hAnsi="標楷體" w:hint="eastAsia"/>
          <w:kern w:val="0"/>
          <w:szCs w:val="24"/>
        </w:rPr>
        <w:t>且對於</w:t>
      </w:r>
      <w:r w:rsidR="00E63557" w:rsidRPr="00F27425">
        <w:rPr>
          <w:rFonts w:ascii="標楷體" w:eastAsia="標楷體" w:hAnsi="標楷體" w:hint="eastAsia"/>
          <w:kern w:val="0"/>
          <w:szCs w:val="24"/>
        </w:rPr>
        <w:t>民事訴訟法第496條第一項第一款「適用法規顯有錯誤」再審事由之認定應包括消極不適用法規，可因法院未為一貫性審查或適用法律錯誤，或根本未為一貫性審查以至於未適用法律之情形時，</w:t>
      </w:r>
      <w:proofErr w:type="gramStart"/>
      <w:r w:rsidR="00E63557" w:rsidRPr="00F27425">
        <w:rPr>
          <w:rFonts w:ascii="標楷體" w:eastAsia="標楷體" w:hAnsi="標楷體" w:hint="eastAsia"/>
          <w:kern w:val="0"/>
          <w:szCs w:val="24"/>
        </w:rPr>
        <w:t>均能得</w:t>
      </w:r>
      <w:proofErr w:type="gramEnd"/>
      <w:r w:rsidR="00E63557" w:rsidRPr="00F27425">
        <w:rPr>
          <w:rFonts w:ascii="標楷體" w:eastAsia="標楷體" w:hAnsi="標楷體" w:hint="eastAsia"/>
          <w:kern w:val="0"/>
          <w:szCs w:val="24"/>
        </w:rPr>
        <w:t>向法院提起救濟訴訟</w:t>
      </w:r>
      <w:r w:rsidR="00E63557" w:rsidRPr="00F27425">
        <w:rPr>
          <w:rStyle w:val="a6"/>
          <w:rFonts w:ascii="標楷體" w:eastAsia="標楷體" w:hAnsi="標楷體"/>
          <w:kern w:val="0"/>
          <w:szCs w:val="24"/>
        </w:rPr>
        <w:footnoteReference w:id="16"/>
      </w:r>
      <w:r w:rsidR="00E63557" w:rsidRPr="00F27425">
        <w:rPr>
          <w:rFonts w:ascii="標楷體" w:eastAsia="標楷體" w:hAnsi="標楷體" w:hint="eastAsia"/>
          <w:kern w:val="0"/>
          <w:szCs w:val="24"/>
        </w:rPr>
        <w:t>。</w:t>
      </w:r>
    </w:p>
    <w:p w14:paraId="74ECAA8A" w14:textId="77777777" w:rsidR="00E63557" w:rsidRPr="00F27425" w:rsidRDefault="00E63557" w:rsidP="007A4DCC">
      <w:pPr>
        <w:ind w:leftChars="200" w:left="480"/>
        <w:jc w:val="both"/>
        <w:rPr>
          <w:rFonts w:ascii="標楷體" w:eastAsia="標楷體" w:hAnsi="標楷體"/>
          <w:kern w:val="0"/>
          <w:szCs w:val="24"/>
        </w:rPr>
      </w:pPr>
    </w:p>
    <w:p w14:paraId="365762ED" w14:textId="77777777" w:rsidR="007E6932" w:rsidRPr="00F27425" w:rsidRDefault="00E63557" w:rsidP="00D42A60">
      <w:pPr>
        <w:ind w:leftChars="200" w:left="480" w:firstLineChars="200" w:firstLine="480"/>
        <w:jc w:val="both"/>
        <w:rPr>
          <w:rFonts w:ascii="標楷體" w:eastAsia="標楷體" w:hAnsi="標楷體"/>
          <w:kern w:val="0"/>
          <w:szCs w:val="24"/>
        </w:rPr>
      </w:pPr>
      <w:r w:rsidRPr="00F27425">
        <w:rPr>
          <w:rFonts w:ascii="標楷體" w:eastAsia="標楷體" w:hAnsi="標楷體" w:hint="eastAsia"/>
          <w:kern w:val="0"/>
          <w:szCs w:val="24"/>
        </w:rPr>
        <w:t>另有學者認為可透過回復民國60年修法前之二階段程序，放寬民事訴訟法146條回復原狀事由</w:t>
      </w:r>
      <w:r w:rsidR="007E6932" w:rsidRPr="00F27425">
        <w:rPr>
          <w:rFonts w:ascii="標楷體" w:eastAsia="標楷體" w:hAnsi="標楷體" w:hint="eastAsia"/>
          <w:kern w:val="0"/>
          <w:szCs w:val="24"/>
        </w:rPr>
        <w:t>限制</w:t>
      </w:r>
      <w:r w:rsidRPr="00F27425">
        <w:rPr>
          <w:rFonts w:ascii="標楷體" w:eastAsia="標楷體" w:hAnsi="標楷體" w:hint="eastAsia"/>
          <w:kern w:val="0"/>
          <w:szCs w:val="24"/>
        </w:rPr>
        <w:t>，或透過修改增訂再審之規定(可參考德國法增訂民事訴訟法第521條第3項規定:詐騙取得支付命令者。視為民法第184條第1項後段故意以違背善良風俗之方法家損害於他人，聲請法院提起再審之訴。)</w:t>
      </w:r>
      <w:r w:rsidR="007E6932" w:rsidRPr="00F27425">
        <w:rPr>
          <w:rFonts w:ascii="標楷體" w:eastAsia="標楷體" w:hAnsi="標楷體" w:hint="eastAsia"/>
          <w:kern w:val="0"/>
          <w:szCs w:val="24"/>
        </w:rPr>
        <w:t>，亦或是特設債權人異議之訴第2項的例外事由，明文例外容許在執行階段與訴訟階段效力分離，讓詐騙取的支付命令可作為無確定判決同一效力之執行名義提起異議之訴救濟</w:t>
      </w:r>
      <w:r w:rsidR="007E6932" w:rsidRPr="00F27425">
        <w:rPr>
          <w:rStyle w:val="a6"/>
          <w:rFonts w:ascii="標楷體" w:eastAsia="標楷體" w:hAnsi="標楷體"/>
          <w:kern w:val="0"/>
          <w:szCs w:val="24"/>
        </w:rPr>
        <w:footnoteReference w:id="17"/>
      </w:r>
      <w:r w:rsidR="007E6932" w:rsidRPr="00F27425">
        <w:rPr>
          <w:rFonts w:ascii="標楷體" w:eastAsia="標楷體" w:hAnsi="標楷體" w:hint="eastAsia"/>
          <w:kern w:val="0"/>
          <w:szCs w:val="24"/>
        </w:rPr>
        <w:t>。</w:t>
      </w:r>
    </w:p>
    <w:p w14:paraId="517ADC10" w14:textId="77777777" w:rsidR="007E6932" w:rsidRPr="00F27425" w:rsidRDefault="007E6932" w:rsidP="007A4DCC">
      <w:pPr>
        <w:ind w:leftChars="200" w:left="480"/>
        <w:jc w:val="both"/>
        <w:rPr>
          <w:rFonts w:ascii="標楷體" w:eastAsia="標楷體" w:hAnsi="標楷體"/>
          <w:kern w:val="0"/>
          <w:szCs w:val="24"/>
        </w:rPr>
      </w:pPr>
    </w:p>
    <w:p w14:paraId="715933F7" w14:textId="72D3C677" w:rsidR="007E6932" w:rsidRPr="00F27425" w:rsidRDefault="007E6932" w:rsidP="00D42A60">
      <w:pPr>
        <w:ind w:leftChars="200" w:left="480" w:firstLineChars="200" w:firstLine="480"/>
        <w:jc w:val="both"/>
        <w:rPr>
          <w:rFonts w:ascii="標楷體" w:eastAsia="標楷體" w:hAnsi="標楷體"/>
          <w:kern w:val="0"/>
          <w:szCs w:val="24"/>
        </w:rPr>
      </w:pPr>
      <w:r w:rsidRPr="00F27425">
        <w:rPr>
          <w:rFonts w:ascii="標楷體" w:eastAsia="標楷體" w:hAnsi="標楷體" w:hint="eastAsia"/>
          <w:kern w:val="0"/>
          <w:szCs w:val="24"/>
        </w:rPr>
        <w:t>綜上所述，持反對論學者認為在現行制度下仍有許多方法可改善舊法下所衍生救濟或其他之問題。</w:t>
      </w:r>
      <w:proofErr w:type="gramStart"/>
      <w:r w:rsidR="00B9266D" w:rsidRPr="00F27425">
        <w:rPr>
          <w:rFonts w:ascii="標楷體" w:eastAsia="標楷體" w:hAnsi="標楷體" w:hint="eastAsia"/>
          <w:kern w:val="0"/>
          <w:szCs w:val="24"/>
        </w:rPr>
        <w:t>惟</w:t>
      </w:r>
      <w:proofErr w:type="gramEnd"/>
      <w:r w:rsidRPr="00F27425">
        <w:rPr>
          <w:rFonts w:ascii="標楷體" w:eastAsia="標楷體" w:hAnsi="標楷體" w:hint="eastAsia"/>
          <w:kern w:val="0"/>
          <w:szCs w:val="24"/>
        </w:rPr>
        <w:t>立法者</w:t>
      </w:r>
      <w:proofErr w:type="gramStart"/>
      <w:r w:rsidRPr="00F27425">
        <w:rPr>
          <w:rFonts w:ascii="標楷體" w:eastAsia="標楷體" w:hAnsi="標楷體" w:hint="eastAsia"/>
          <w:kern w:val="0"/>
          <w:szCs w:val="24"/>
        </w:rPr>
        <w:t>卻均未</w:t>
      </w:r>
      <w:r w:rsidR="005A1DC0" w:rsidRPr="00F27425">
        <w:rPr>
          <w:rFonts w:ascii="標楷體" w:eastAsia="標楷體" w:hAnsi="標楷體" w:hint="eastAsia"/>
          <w:kern w:val="0"/>
          <w:szCs w:val="24"/>
        </w:rPr>
        <w:t>為</w:t>
      </w:r>
      <w:proofErr w:type="gramEnd"/>
      <w:r w:rsidR="005A1DC0" w:rsidRPr="00F27425">
        <w:rPr>
          <w:rFonts w:ascii="標楷體" w:eastAsia="標楷體" w:hAnsi="標楷體" w:hint="eastAsia"/>
          <w:kern w:val="0"/>
          <w:szCs w:val="24"/>
        </w:rPr>
        <w:t>嘗試；</w:t>
      </w:r>
      <w:r w:rsidRPr="00F27425">
        <w:rPr>
          <w:rFonts w:ascii="標楷體" w:eastAsia="標楷體" w:hAnsi="標楷體" w:hint="eastAsia"/>
          <w:kern w:val="0"/>
          <w:szCs w:val="24"/>
        </w:rPr>
        <w:t>督促程序每年幾乎已過濾40萬件民事案件的效用減少法院之案源，也亦是許多金融機構處理催收放款事件之手段，</w:t>
      </w:r>
      <w:r w:rsidR="005A1DC0" w:rsidRPr="00F27425">
        <w:rPr>
          <w:rFonts w:ascii="標楷體" w:eastAsia="標楷體" w:hAnsi="標楷體" w:hint="eastAsia"/>
          <w:kern w:val="0"/>
          <w:szCs w:val="24"/>
        </w:rPr>
        <w:t>避免無實質爭執之借款是進入訴訟。</w:t>
      </w:r>
      <w:proofErr w:type="gramStart"/>
      <w:r w:rsidR="005A1DC0" w:rsidRPr="00F27425">
        <w:rPr>
          <w:rFonts w:ascii="標楷體" w:eastAsia="標楷體" w:hAnsi="標楷體" w:hint="eastAsia"/>
          <w:kern w:val="0"/>
          <w:szCs w:val="24"/>
        </w:rPr>
        <w:t>惟</w:t>
      </w:r>
      <w:proofErr w:type="gramEnd"/>
      <w:r w:rsidR="005A1DC0" w:rsidRPr="00F27425">
        <w:rPr>
          <w:rFonts w:ascii="標楷體" w:eastAsia="標楷體" w:hAnsi="標楷體" w:hint="eastAsia"/>
          <w:kern w:val="0"/>
          <w:szCs w:val="24"/>
        </w:rPr>
        <w:t>現今目光狹隘之立法者，只想偏向債務人角度的最簡單</w:t>
      </w:r>
      <w:proofErr w:type="gramStart"/>
      <w:r w:rsidR="005A1DC0" w:rsidRPr="00F27425">
        <w:rPr>
          <w:rFonts w:ascii="標楷體" w:eastAsia="標楷體" w:hAnsi="標楷體" w:hint="eastAsia"/>
          <w:kern w:val="0"/>
          <w:szCs w:val="24"/>
        </w:rPr>
        <w:t>最</w:t>
      </w:r>
      <w:proofErr w:type="gramEnd"/>
      <w:r w:rsidR="005A1DC0" w:rsidRPr="00F27425">
        <w:rPr>
          <w:rFonts w:ascii="標楷體" w:eastAsia="標楷體" w:hAnsi="標楷體" w:hint="eastAsia"/>
          <w:kern w:val="0"/>
          <w:szCs w:val="24"/>
        </w:rPr>
        <w:t>快速方法，貿然</w:t>
      </w:r>
      <w:r w:rsidR="002F03DF">
        <w:rPr>
          <w:rFonts w:ascii="標楷體" w:eastAsia="標楷體" w:hAnsi="標楷體" w:hint="eastAsia"/>
          <w:kern w:val="0"/>
          <w:szCs w:val="24"/>
        </w:rPr>
        <w:t>的</w:t>
      </w:r>
      <w:r w:rsidR="005A1DC0" w:rsidRPr="00F27425">
        <w:rPr>
          <w:rFonts w:ascii="標楷體" w:eastAsia="標楷體" w:hAnsi="標楷體" w:hint="eastAsia"/>
          <w:kern w:val="0"/>
          <w:szCs w:val="24"/>
        </w:rPr>
        <w:t>取消支付命令</w:t>
      </w:r>
      <w:proofErr w:type="gramStart"/>
      <w:r w:rsidR="005A1DC0" w:rsidRPr="00F27425">
        <w:rPr>
          <w:rFonts w:ascii="標楷體" w:eastAsia="標楷體" w:hAnsi="標楷體" w:hint="eastAsia"/>
          <w:kern w:val="0"/>
          <w:szCs w:val="24"/>
        </w:rPr>
        <w:t>既判力</w:t>
      </w:r>
      <w:proofErr w:type="gramEnd"/>
      <w:r w:rsidR="005A1DC0" w:rsidRPr="00F27425">
        <w:rPr>
          <w:rFonts w:ascii="標楷體" w:eastAsia="標楷體" w:hAnsi="標楷體" w:hint="eastAsia"/>
          <w:kern w:val="0"/>
          <w:szCs w:val="24"/>
        </w:rPr>
        <w:t>，勢必讓金融機構為維護借款債權時效利益，直接進入訴訟，而影響其餘真正有訴訟實益之人民</w:t>
      </w:r>
      <w:r w:rsidR="005A1DC0" w:rsidRPr="00F27425">
        <w:rPr>
          <w:rStyle w:val="a6"/>
          <w:rFonts w:ascii="標楷體" w:eastAsia="標楷體" w:hAnsi="標楷體"/>
          <w:kern w:val="0"/>
          <w:szCs w:val="24"/>
        </w:rPr>
        <w:footnoteReference w:id="18"/>
      </w:r>
      <w:r w:rsidR="005A1DC0" w:rsidRPr="00F27425">
        <w:rPr>
          <w:rFonts w:ascii="標楷體" w:eastAsia="標楷體" w:hAnsi="標楷體" w:hint="eastAsia"/>
          <w:kern w:val="0"/>
          <w:szCs w:val="24"/>
        </w:rPr>
        <w:t>。更有學者指出立法者對於所謂詐騙集團詐欺取的之支付命案件數多少都不知道了，就以使用者找</w:t>
      </w:r>
      <w:r w:rsidR="00B9266D" w:rsidRPr="00F27425">
        <w:rPr>
          <w:rFonts w:ascii="標楷體" w:eastAsia="標楷體" w:hAnsi="標楷體" w:hint="eastAsia"/>
          <w:kern w:val="0"/>
          <w:szCs w:val="24"/>
        </w:rPr>
        <w:t>不到</w:t>
      </w:r>
      <w:r w:rsidR="005A1DC0" w:rsidRPr="00F27425">
        <w:rPr>
          <w:rFonts w:ascii="標楷體" w:eastAsia="標楷體" w:hAnsi="標楷體" w:hint="eastAsia"/>
          <w:kern w:val="0"/>
          <w:szCs w:val="24"/>
        </w:rPr>
        <w:t>一個新房子大門</w:t>
      </w:r>
      <w:r w:rsidR="00B9266D" w:rsidRPr="00F27425">
        <w:rPr>
          <w:rFonts w:ascii="標楷體" w:eastAsia="標楷體" w:hAnsi="標楷體" w:hint="eastAsia"/>
          <w:kern w:val="0"/>
          <w:szCs w:val="24"/>
        </w:rPr>
        <w:t>，就乾脆把整個房子拆掉之立法方式</w:t>
      </w:r>
      <w:proofErr w:type="gramStart"/>
      <w:r w:rsidR="00B9266D" w:rsidRPr="00F27425">
        <w:rPr>
          <w:rFonts w:ascii="標楷體" w:eastAsia="標楷體" w:hAnsi="標楷體" w:hint="eastAsia"/>
          <w:kern w:val="0"/>
          <w:szCs w:val="24"/>
        </w:rPr>
        <w:t>刪替原</w:t>
      </w:r>
      <w:proofErr w:type="gramEnd"/>
      <w:r w:rsidR="00B9266D" w:rsidRPr="00F27425">
        <w:rPr>
          <w:rFonts w:ascii="標楷體" w:eastAsia="標楷體" w:hAnsi="標楷體" w:hint="eastAsia"/>
          <w:kern w:val="0"/>
          <w:szCs w:val="24"/>
        </w:rPr>
        <w:t>支付命令之</w:t>
      </w:r>
      <w:proofErr w:type="gramStart"/>
      <w:r w:rsidR="00B9266D" w:rsidRPr="00F27425">
        <w:rPr>
          <w:rFonts w:ascii="標楷體" w:eastAsia="標楷體" w:hAnsi="標楷體" w:hint="eastAsia"/>
          <w:kern w:val="0"/>
          <w:szCs w:val="24"/>
        </w:rPr>
        <w:t>既判力</w:t>
      </w:r>
      <w:proofErr w:type="gramEnd"/>
      <w:r w:rsidR="00B9266D" w:rsidRPr="00F27425">
        <w:rPr>
          <w:rFonts w:ascii="標楷體" w:eastAsia="標楷體" w:hAnsi="標楷體" w:hint="eastAsia"/>
          <w:kern w:val="0"/>
          <w:szCs w:val="24"/>
        </w:rPr>
        <w:t>，更進一步指出次修法立法者所扮演的角色</w:t>
      </w:r>
      <w:r w:rsidR="005A1DC0" w:rsidRPr="00F27425">
        <w:rPr>
          <w:rFonts w:ascii="標楷體" w:eastAsia="標楷體" w:hAnsi="標楷體" w:hint="eastAsia"/>
          <w:kern w:val="0"/>
          <w:szCs w:val="24"/>
        </w:rPr>
        <w:t>除了對世人展示立法權可以強大到為所欲為，不問專</w:t>
      </w:r>
      <w:r w:rsidR="005A1DC0" w:rsidRPr="00F27425">
        <w:rPr>
          <w:rFonts w:ascii="標楷體" w:eastAsia="標楷體" w:hAnsi="標楷體" w:hint="eastAsia"/>
          <w:kern w:val="0"/>
          <w:szCs w:val="24"/>
        </w:rPr>
        <w:lastRenderedPageBreak/>
        <w:t>業只問民</w:t>
      </w:r>
      <w:proofErr w:type="gramStart"/>
      <w:r w:rsidR="005A1DC0" w:rsidRPr="00F27425">
        <w:rPr>
          <w:rFonts w:ascii="標楷體" w:eastAsia="標楷體" w:hAnsi="標楷體" w:hint="eastAsia"/>
          <w:kern w:val="0"/>
          <w:szCs w:val="24"/>
        </w:rPr>
        <w:t>粹</w:t>
      </w:r>
      <w:proofErr w:type="gramEnd"/>
      <w:r w:rsidR="005A1DC0" w:rsidRPr="00F27425">
        <w:rPr>
          <w:rFonts w:ascii="標楷體" w:eastAsia="標楷體" w:hAnsi="標楷體" w:hint="eastAsia"/>
          <w:kern w:val="0"/>
          <w:szCs w:val="24"/>
        </w:rPr>
        <w:t>，</w:t>
      </w:r>
      <w:r w:rsidR="00B9266D" w:rsidRPr="00F27425">
        <w:rPr>
          <w:rFonts w:ascii="標楷體" w:eastAsia="標楷體" w:hAnsi="標楷體" w:hint="eastAsia"/>
          <w:kern w:val="0"/>
          <w:szCs w:val="24"/>
        </w:rPr>
        <w:t>別無實益</w:t>
      </w:r>
      <w:r w:rsidR="00B9266D" w:rsidRPr="00F27425">
        <w:rPr>
          <w:rStyle w:val="a6"/>
          <w:rFonts w:ascii="標楷體" w:eastAsia="標楷體" w:hAnsi="標楷體"/>
          <w:kern w:val="0"/>
          <w:szCs w:val="24"/>
        </w:rPr>
        <w:footnoteReference w:id="19"/>
      </w:r>
      <w:r w:rsidR="00B9266D" w:rsidRPr="00F27425">
        <w:rPr>
          <w:rFonts w:ascii="標楷體" w:eastAsia="標楷體" w:hAnsi="標楷體" w:hint="eastAsia"/>
          <w:kern w:val="0"/>
          <w:szCs w:val="24"/>
        </w:rPr>
        <w:t>。</w:t>
      </w:r>
    </w:p>
    <w:p w14:paraId="062B88FD" w14:textId="77777777" w:rsidR="00B9266D" w:rsidRPr="00F27425" w:rsidRDefault="00B9266D" w:rsidP="007A4DCC">
      <w:pPr>
        <w:jc w:val="both"/>
        <w:rPr>
          <w:rFonts w:ascii="標楷體" w:eastAsia="標楷體" w:hAnsi="標楷體"/>
          <w:kern w:val="0"/>
          <w:szCs w:val="24"/>
        </w:rPr>
      </w:pPr>
    </w:p>
    <w:p w14:paraId="4F3307EF" w14:textId="77777777" w:rsidR="00B9266D" w:rsidRPr="00F27425" w:rsidRDefault="00B9266D" w:rsidP="007A4DCC">
      <w:pPr>
        <w:pStyle w:val="a3"/>
        <w:numPr>
          <w:ilvl w:val="0"/>
          <w:numId w:val="31"/>
        </w:numPr>
        <w:ind w:leftChars="0"/>
        <w:jc w:val="both"/>
        <w:rPr>
          <w:rFonts w:ascii="標楷體" w:eastAsia="標楷體" w:hAnsi="標楷體"/>
          <w:kern w:val="0"/>
          <w:szCs w:val="24"/>
        </w:rPr>
      </w:pPr>
      <w:r w:rsidRPr="00F27425">
        <w:rPr>
          <w:rFonts w:ascii="標楷體" w:eastAsia="標楷體" w:hAnsi="標楷體" w:hint="eastAsia"/>
          <w:kern w:val="0"/>
          <w:szCs w:val="24"/>
        </w:rPr>
        <w:t>修法</w:t>
      </w:r>
      <w:proofErr w:type="gramStart"/>
      <w:r w:rsidRPr="00F27425">
        <w:rPr>
          <w:rFonts w:ascii="標楷體" w:eastAsia="標楷體" w:hAnsi="標楷體" w:hint="eastAsia"/>
          <w:kern w:val="0"/>
          <w:szCs w:val="24"/>
        </w:rPr>
        <w:t>肯定論</w:t>
      </w:r>
      <w:proofErr w:type="gramEnd"/>
      <w:r w:rsidRPr="00F27425">
        <w:rPr>
          <w:rFonts w:ascii="標楷體" w:eastAsia="標楷體" w:hAnsi="標楷體" w:hint="eastAsia"/>
          <w:kern w:val="0"/>
          <w:szCs w:val="24"/>
        </w:rPr>
        <w:t>之見解</w:t>
      </w:r>
    </w:p>
    <w:p w14:paraId="73C4343D" w14:textId="77777777" w:rsidR="00B9266D" w:rsidRPr="00F27425" w:rsidRDefault="00B9266D" w:rsidP="00D42A60">
      <w:pPr>
        <w:pStyle w:val="a3"/>
        <w:ind w:leftChars="0" w:firstLineChars="200" w:firstLine="480"/>
        <w:jc w:val="both"/>
        <w:rPr>
          <w:rFonts w:ascii="標楷體" w:eastAsia="標楷體" w:hAnsi="標楷體"/>
          <w:kern w:val="0"/>
          <w:szCs w:val="24"/>
        </w:rPr>
      </w:pPr>
      <w:r w:rsidRPr="00F27425">
        <w:rPr>
          <w:rFonts w:ascii="標楷體" w:eastAsia="標楷體" w:hAnsi="標楷體" w:hint="eastAsia"/>
          <w:kern w:val="0"/>
          <w:szCs w:val="24"/>
        </w:rPr>
        <w:t>持</w:t>
      </w:r>
      <w:proofErr w:type="gramStart"/>
      <w:r w:rsidRPr="00F27425">
        <w:rPr>
          <w:rFonts w:ascii="標楷體" w:eastAsia="標楷體" w:hAnsi="標楷體" w:hint="eastAsia"/>
          <w:kern w:val="0"/>
          <w:szCs w:val="24"/>
        </w:rPr>
        <w:t>肯定論</w:t>
      </w:r>
      <w:proofErr w:type="gramEnd"/>
      <w:r w:rsidRPr="00F27425">
        <w:rPr>
          <w:rFonts w:ascii="標楷體" w:eastAsia="標楷體" w:hAnsi="標楷體" w:hint="eastAsia"/>
          <w:kern w:val="0"/>
          <w:szCs w:val="24"/>
        </w:rPr>
        <w:t>見解之學者，對於僅賦予支付命令具有執行力，但不宜具有</w:t>
      </w:r>
      <w:proofErr w:type="gramStart"/>
      <w:r w:rsidRPr="00F27425">
        <w:rPr>
          <w:rFonts w:ascii="標楷體" w:eastAsia="標楷體" w:hAnsi="標楷體" w:hint="eastAsia"/>
          <w:kern w:val="0"/>
          <w:szCs w:val="24"/>
        </w:rPr>
        <w:t>既判力</w:t>
      </w:r>
      <w:proofErr w:type="gramEnd"/>
      <w:r w:rsidRPr="00F27425">
        <w:rPr>
          <w:rFonts w:ascii="標楷體" w:eastAsia="標楷體" w:hAnsi="標楷體" w:hint="eastAsia"/>
          <w:kern w:val="0"/>
          <w:szCs w:val="24"/>
        </w:rPr>
        <w:t>之修法方向於與贊同。</w:t>
      </w:r>
    </w:p>
    <w:p w14:paraId="4914EEE3" w14:textId="77777777" w:rsidR="00B9266D" w:rsidRPr="00F27425" w:rsidRDefault="00B9266D" w:rsidP="007A4DCC">
      <w:pPr>
        <w:pStyle w:val="a3"/>
        <w:ind w:leftChars="0"/>
        <w:jc w:val="both"/>
        <w:rPr>
          <w:rFonts w:ascii="標楷體" w:eastAsia="標楷體" w:hAnsi="標楷體"/>
          <w:kern w:val="0"/>
          <w:szCs w:val="24"/>
        </w:rPr>
      </w:pPr>
    </w:p>
    <w:p w14:paraId="431D5581" w14:textId="75C0D25B" w:rsidR="0013140D" w:rsidRPr="00F27425" w:rsidRDefault="00B9266D" w:rsidP="00D42A60">
      <w:pPr>
        <w:pStyle w:val="a3"/>
        <w:ind w:leftChars="0" w:firstLineChars="200" w:firstLine="480"/>
        <w:jc w:val="both"/>
        <w:rPr>
          <w:rFonts w:ascii="標楷體" w:eastAsia="標楷體" w:hAnsi="標楷體"/>
          <w:kern w:val="0"/>
          <w:szCs w:val="24"/>
        </w:rPr>
      </w:pPr>
      <w:r w:rsidRPr="00F27425">
        <w:rPr>
          <w:rFonts w:ascii="標楷體" w:eastAsia="標楷體" w:hAnsi="標楷體"/>
          <w:kern w:val="0"/>
          <w:szCs w:val="24"/>
        </w:rPr>
        <w:t>學者認為簡速程序之進行與追求不應成為排除憲法賦予人民訴訟權保障之合理化依據，仍應於程序中賦予相對人補正或再次異議之機會。況且督促程序菲雙方當事人合意之結果，或為程序選擇權之合意。</w:t>
      </w:r>
      <w:r w:rsidR="0013140D" w:rsidRPr="00F27425">
        <w:rPr>
          <w:rFonts w:ascii="標楷體" w:eastAsia="標楷體" w:hAnsi="標楷體"/>
          <w:kern w:val="0"/>
          <w:szCs w:val="24"/>
        </w:rPr>
        <w:t>且若以相對人未於不變期間內提出異議，將其意思肯認同意聲</w:t>
      </w:r>
      <w:r w:rsidR="000F2FC0">
        <w:rPr>
          <w:rFonts w:ascii="標楷體" w:eastAsia="標楷體" w:hAnsi="標楷體"/>
          <w:kern w:val="0"/>
          <w:szCs w:val="24"/>
        </w:rPr>
        <w:t>請人之主張，此</w:t>
      </w:r>
      <w:proofErr w:type="gramStart"/>
      <w:r w:rsidR="000F2FC0">
        <w:rPr>
          <w:rFonts w:ascii="標楷體" w:eastAsia="標楷體" w:hAnsi="標楷體"/>
          <w:kern w:val="0"/>
          <w:szCs w:val="24"/>
        </w:rPr>
        <w:t>種擬制實</w:t>
      </w:r>
      <w:proofErr w:type="gramEnd"/>
      <w:r w:rsidR="000F2FC0">
        <w:rPr>
          <w:rFonts w:ascii="標楷體" w:eastAsia="標楷體" w:hAnsi="標楷體"/>
          <w:kern w:val="0"/>
          <w:szCs w:val="24"/>
        </w:rPr>
        <w:t>非妥當。且</w:t>
      </w:r>
      <w:r w:rsidR="0013140D" w:rsidRPr="00F27425">
        <w:rPr>
          <w:rFonts w:ascii="標楷體" w:eastAsia="標楷體" w:hAnsi="標楷體"/>
          <w:kern w:val="0"/>
          <w:szCs w:val="24"/>
        </w:rPr>
        <w:t>法院對於無須支付命令</w:t>
      </w:r>
      <w:proofErr w:type="gramStart"/>
      <w:r w:rsidR="0013140D" w:rsidRPr="00F27425">
        <w:rPr>
          <w:rFonts w:ascii="標楷體" w:eastAsia="標楷體" w:hAnsi="標楷體"/>
          <w:kern w:val="0"/>
          <w:szCs w:val="24"/>
        </w:rPr>
        <w:t>程序均以形式</w:t>
      </w:r>
      <w:proofErr w:type="gramEnd"/>
      <w:r w:rsidR="0013140D" w:rsidRPr="00F27425">
        <w:rPr>
          <w:rFonts w:ascii="標楷體" w:eastAsia="標楷體" w:hAnsi="標楷體"/>
          <w:kern w:val="0"/>
          <w:szCs w:val="24"/>
        </w:rPr>
        <w:t>上審查，並未落實有理性之審查，對於債權人片面主張之請求有無理由，</w:t>
      </w:r>
      <w:r w:rsidR="00597DD6">
        <w:rPr>
          <w:rFonts w:ascii="標楷體" w:eastAsia="標楷體" w:hAnsi="標楷體"/>
          <w:kern w:val="0"/>
          <w:szCs w:val="24"/>
        </w:rPr>
        <w:t>甚至是否存在，</w:t>
      </w:r>
      <w:proofErr w:type="gramStart"/>
      <w:r w:rsidR="00597DD6">
        <w:rPr>
          <w:rFonts w:ascii="標楷體" w:eastAsia="標楷體" w:hAnsi="標楷體"/>
          <w:kern w:val="0"/>
          <w:szCs w:val="24"/>
        </w:rPr>
        <w:t>均未多</w:t>
      </w:r>
      <w:proofErr w:type="gramEnd"/>
      <w:r w:rsidR="00597DD6">
        <w:rPr>
          <w:rFonts w:ascii="標楷體" w:eastAsia="標楷體" w:hAnsi="標楷體"/>
          <w:kern w:val="0"/>
          <w:szCs w:val="24"/>
        </w:rPr>
        <w:t>所審查，對於債務人實有非常大的</w:t>
      </w:r>
      <w:proofErr w:type="gramStart"/>
      <w:r w:rsidR="00597DD6">
        <w:rPr>
          <w:rFonts w:ascii="標楷體" w:eastAsia="標楷體" w:hAnsi="標楷體"/>
          <w:kern w:val="0"/>
          <w:szCs w:val="24"/>
        </w:rPr>
        <w:t>不</w:t>
      </w:r>
      <w:proofErr w:type="gramEnd"/>
      <w:r w:rsidR="00597DD6">
        <w:rPr>
          <w:rFonts w:ascii="標楷體" w:eastAsia="標楷體" w:hAnsi="標楷體"/>
          <w:kern w:val="0"/>
          <w:szCs w:val="24"/>
        </w:rPr>
        <w:t>利益。</w:t>
      </w:r>
      <w:proofErr w:type="gramStart"/>
      <w:r w:rsidR="00597DD6">
        <w:rPr>
          <w:rFonts w:ascii="標楷體" w:eastAsia="標楷體" w:hAnsi="標楷體"/>
          <w:kern w:val="0"/>
          <w:szCs w:val="24"/>
        </w:rPr>
        <w:t>再就</w:t>
      </w:r>
      <w:r w:rsidR="00597DD6">
        <w:rPr>
          <w:rFonts w:ascii="標楷體" w:eastAsia="標楷體" w:hAnsi="標楷體" w:hint="eastAsia"/>
          <w:kern w:val="0"/>
          <w:szCs w:val="24"/>
        </w:rPr>
        <w:t>舊</w:t>
      </w:r>
      <w:r w:rsidR="0013140D" w:rsidRPr="00F27425">
        <w:rPr>
          <w:rFonts w:ascii="標楷體" w:eastAsia="標楷體" w:hAnsi="標楷體"/>
          <w:kern w:val="0"/>
          <w:szCs w:val="24"/>
        </w:rPr>
        <w:t>法</w:t>
      </w:r>
      <w:proofErr w:type="gramEnd"/>
      <w:r w:rsidR="0013140D" w:rsidRPr="00F27425">
        <w:rPr>
          <w:rFonts w:ascii="標楷體" w:eastAsia="標楷體" w:hAnsi="標楷體"/>
          <w:kern w:val="0"/>
          <w:szCs w:val="24"/>
        </w:rPr>
        <w:t>時期之救濟途徑，其適用範圍僅侷限法院審理程序於認定事實及適用法律有重大瑕疵為限，對於舊法時期支付</w:t>
      </w:r>
      <w:proofErr w:type="gramStart"/>
      <w:r w:rsidR="0013140D" w:rsidRPr="00F27425">
        <w:rPr>
          <w:rFonts w:ascii="標楷體" w:eastAsia="標楷體" w:hAnsi="標楷體"/>
          <w:kern w:val="0"/>
          <w:szCs w:val="24"/>
        </w:rPr>
        <w:t>命令實能提起</w:t>
      </w:r>
      <w:proofErr w:type="gramEnd"/>
      <w:r w:rsidR="0013140D" w:rsidRPr="00F27425">
        <w:rPr>
          <w:rFonts w:ascii="標楷體" w:eastAsia="標楷體" w:hAnsi="標楷體"/>
          <w:kern w:val="0"/>
          <w:szCs w:val="24"/>
        </w:rPr>
        <w:t>再審之機會根本微乎其微</w:t>
      </w:r>
      <w:r w:rsidR="000E0F46" w:rsidRPr="00F27425">
        <w:rPr>
          <w:rFonts w:ascii="標楷體" w:eastAsia="標楷體" w:hAnsi="標楷體"/>
          <w:kern w:val="0"/>
          <w:szCs w:val="24"/>
        </w:rPr>
        <w:t>(據實數據詳見</w:t>
      </w:r>
      <w:r w:rsidR="000E0F46" w:rsidRPr="00F27425">
        <w:rPr>
          <w:rFonts w:ascii="標楷體" w:eastAsia="標楷體" w:hAnsi="標楷體" w:hint="eastAsia"/>
          <w:kern w:val="0"/>
          <w:szCs w:val="24"/>
        </w:rPr>
        <w:t>表5-1)。因此</w:t>
      </w:r>
      <w:r w:rsidR="0068451E" w:rsidRPr="00F27425">
        <w:rPr>
          <w:rFonts w:ascii="標楷體" w:eastAsia="標楷體" w:hAnsi="標楷體"/>
          <w:kern w:val="0"/>
          <w:szCs w:val="24"/>
        </w:rPr>
        <w:t>舊法時期之支付命令根本毫無用武之地，無為保障受有</w:t>
      </w:r>
      <w:proofErr w:type="gramStart"/>
      <w:r w:rsidR="0068451E" w:rsidRPr="00F27425">
        <w:rPr>
          <w:rFonts w:ascii="標楷體" w:eastAsia="標楷體" w:hAnsi="標楷體"/>
          <w:kern w:val="0"/>
          <w:szCs w:val="24"/>
        </w:rPr>
        <w:t>不</w:t>
      </w:r>
      <w:proofErr w:type="gramEnd"/>
      <w:r w:rsidR="0068451E" w:rsidRPr="00F27425">
        <w:rPr>
          <w:rFonts w:ascii="標楷體" w:eastAsia="標楷體" w:hAnsi="標楷體"/>
          <w:kern w:val="0"/>
          <w:szCs w:val="24"/>
        </w:rPr>
        <w:t>利益之相對人</w:t>
      </w:r>
      <w:r w:rsidR="0068451E" w:rsidRPr="00F27425">
        <w:rPr>
          <w:rStyle w:val="a6"/>
          <w:rFonts w:ascii="標楷體" w:eastAsia="標楷體" w:hAnsi="標楷體"/>
          <w:kern w:val="0"/>
          <w:szCs w:val="24"/>
        </w:rPr>
        <w:footnoteReference w:id="20"/>
      </w:r>
      <w:r w:rsidR="0068451E" w:rsidRPr="00F27425">
        <w:rPr>
          <w:rFonts w:ascii="標楷體" w:eastAsia="標楷體" w:hAnsi="標楷體"/>
          <w:kern w:val="0"/>
          <w:szCs w:val="24"/>
        </w:rPr>
        <w:t>。</w:t>
      </w:r>
    </w:p>
    <w:p w14:paraId="576603F0" w14:textId="77777777" w:rsidR="000E0F46" w:rsidRPr="00F27425" w:rsidRDefault="000E0F46" w:rsidP="007A4DCC">
      <w:pPr>
        <w:pStyle w:val="a3"/>
        <w:ind w:leftChars="0"/>
        <w:jc w:val="both"/>
        <w:rPr>
          <w:rFonts w:ascii="標楷體" w:eastAsia="標楷體" w:hAnsi="標楷體"/>
          <w:kern w:val="0"/>
          <w:szCs w:val="24"/>
        </w:rPr>
      </w:pPr>
    </w:p>
    <w:p w14:paraId="7FB1F25D" w14:textId="67A6E5A8" w:rsidR="000E0F46" w:rsidRPr="00F27425" w:rsidRDefault="00BD343C" w:rsidP="007A4DCC">
      <w:pPr>
        <w:pStyle w:val="a3"/>
        <w:ind w:leftChars="0"/>
        <w:jc w:val="both"/>
        <w:rPr>
          <w:rFonts w:ascii="標楷體" w:eastAsia="標楷體" w:hAnsi="標楷體"/>
          <w:kern w:val="0"/>
          <w:szCs w:val="24"/>
        </w:rPr>
      </w:pPr>
      <w:r w:rsidRPr="00F27425">
        <w:rPr>
          <w:rFonts w:ascii="標楷體" w:eastAsia="標楷體" w:hAnsi="標楷體"/>
          <w:noProof/>
          <w:szCs w:val="24"/>
        </w:rPr>
        <w:drawing>
          <wp:anchor distT="0" distB="0" distL="114300" distR="114300" simplePos="0" relativeHeight="251662336" behindDoc="1" locked="0" layoutInCell="1" allowOverlap="1" wp14:anchorId="471FCAA5" wp14:editId="1AFCA853">
            <wp:simplePos x="0" y="0"/>
            <wp:positionH relativeFrom="margin">
              <wp:posOffset>-234315</wp:posOffset>
            </wp:positionH>
            <wp:positionV relativeFrom="margin">
              <wp:posOffset>4202430</wp:posOffset>
            </wp:positionV>
            <wp:extent cx="6200140" cy="2588260"/>
            <wp:effectExtent l="0" t="0" r="0" b="254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0881" t="19584" r="31916" b="52804"/>
                    <a:stretch/>
                  </pic:blipFill>
                  <pic:spPr bwMode="auto">
                    <a:xfrm>
                      <a:off x="0" y="0"/>
                      <a:ext cx="6200140" cy="2588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2942">
        <w:rPr>
          <w:rStyle w:val="a6"/>
          <w:rFonts w:ascii="標楷體" w:eastAsia="標楷體" w:hAnsi="標楷體"/>
          <w:kern w:val="0"/>
          <w:szCs w:val="24"/>
        </w:rPr>
        <w:footnoteReference w:id="21"/>
      </w:r>
      <w:r w:rsidR="000E0F46" w:rsidRPr="00F27425">
        <w:rPr>
          <w:rFonts w:ascii="標楷體" w:eastAsia="標楷體" w:hAnsi="標楷體" w:hint="eastAsia"/>
          <w:kern w:val="0"/>
          <w:szCs w:val="24"/>
        </w:rPr>
        <w:t>(表5-1</w:t>
      </w:r>
      <w:r w:rsidR="000E0F46" w:rsidRPr="00F27425">
        <w:rPr>
          <w:rFonts w:ascii="標楷體" w:eastAsia="標楷體" w:hAnsi="標楷體"/>
          <w:kern w:val="0"/>
          <w:szCs w:val="24"/>
        </w:rPr>
        <w:t>)</w:t>
      </w:r>
    </w:p>
    <w:p w14:paraId="68ABD45E" w14:textId="51EA88DB" w:rsidR="0068451E" w:rsidRPr="00BD343C" w:rsidRDefault="0068451E" w:rsidP="00BD343C">
      <w:pPr>
        <w:jc w:val="both"/>
        <w:rPr>
          <w:rFonts w:ascii="標楷體" w:eastAsia="標楷體" w:hAnsi="標楷體"/>
          <w:kern w:val="0"/>
          <w:szCs w:val="24"/>
        </w:rPr>
      </w:pPr>
    </w:p>
    <w:p w14:paraId="22FEFA49" w14:textId="77777777" w:rsidR="0068451E" w:rsidRPr="00EC1189" w:rsidRDefault="0068451E" w:rsidP="00D42A60">
      <w:pPr>
        <w:ind w:leftChars="200" w:left="480" w:firstLineChars="200" w:firstLine="480"/>
        <w:jc w:val="both"/>
        <w:rPr>
          <w:rFonts w:ascii="標楷體" w:eastAsia="標楷體" w:hAnsi="標楷體" w:cs="Tahoma"/>
          <w:szCs w:val="24"/>
          <w:shd w:val="clear" w:color="auto" w:fill="FFFFFF"/>
        </w:rPr>
      </w:pPr>
      <w:r w:rsidRPr="00EC1189">
        <w:rPr>
          <w:rFonts w:ascii="標楷體" w:eastAsia="標楷體" w:hAnsi="標楷體" w:hint="eastAsia"/>
          <w:kern w:val="0"/>
          <w:szCs w:val="24"/>
        </w:rPr>
        <w:t>尤有進者</w:t>
      </w:r>
      <w:r w:rsidRPr="00EC1189">
        <w:rPr>
          <w:rFonts w:ascii="標楷體" w:eastAsia="標楷體" w:hAnsi="標楷體"/>
          <w:kern w:val="0"/>
          <w:szCs w:val="24"/>
        </w:rPr>
        <w:t>，更有學者對於</w:t>
      </w:r>
      <w:proofErr w:type="gramStart"/>
      <w:r w:rsidRPr="00EC1189">
        <w:rPr>
          <w:rFonts w:ascii="標楷體" w:eastAsia="標楷體" w:hAnsi="標楷體"/>
          <w:kern w:val="0"/>
          <w:szCs w:val="24"/>
        </w:rPr>
        <w:t>一</w:t>
      </w:r>
      <w:proofErr w:type="gramEnd"/>
      <w:r w:rsidRPr="00EC1189">
        <w:rPr>
          <w:rFonts w:ascii="標楷體" w:eastAsia="標楷體" w:hAnsi="標楷體"/>
          <w:kern w:val="0"/>
          <w:szCs w:val="24"/>
        </w:rPr>
        <w:t>但若廢除支付命令之</w:t>
      </w:r>
      <w:proofErr w:type="gramStart"/>
      <w:r w:rsidRPr="00EC1189">
        <w:rPr>
          <w:rFonts w:ascii="標楷體" w:eastAsia="標楷體" w:hAnsi="標楷體"/>
          <w:kern w:val="0"/>
          <w:szCs w:val="24"/>
        </w:rPr>
        <w:t>既判力</w:t>
      </w:r>
      <w:proofErr w:type="gramEnd"/>
      <w:r w:rsidRPr="00EC1189">
        <w:rPr>
          <w:rFonts w:ascii="標楷體" w:eastAsia="標楷體" w:hAnsi="標楷體"/>
          <w:kern w:val="0"/>
          <w:szCs w:val="24"/>
        </w:rPr>
        <w:t>將造成大量無爭執之事件進入訴訟，持以質疑之態度。</w:t>
      </w:r>
      <w:r w:rsidRPr="00EC1189">
        <w:rPr>
          <w:rFonts w:ascii="標楷體" w:eastAsia="標楷體" w:hAnsi="標楷體" w:cs="Tahoma"/>
          <w:szCs w:val="24"/>
          <w:shd w:val="clear" w:color="auto" w:fill="FFFFFF"/>
        </w:rPr>
        <w:t>「如貿然取消支付命令</w:t>
      </w:r>
      <w:proofErr w:type="gramStart"/>
      <w:r w:rsidRPr="00EC1189">
        <w:rPr>
          <w:rFonts w:ascii="標楷體" w:eastAsia="標楷體" w:hAnsi="標楷體" w:cs="Tahoma"/>
          <w:szCs w:val="24"/>
          <w:shd w:val="clear" w:color="auto" w:fill="FFFFFF"/>
        </w:rPr>
        <w:t>既判力</w:t>
      </w:r>
      <w:proofErr w:type="gramEnd"/>
      <w:r w:rsidRPr="00EC1189">
        <w:rPr>
          <w:rFonts w:ascii="標楷體" w:eastAsia="標楷體" w:hAnsi="標楷體" w:cs="Tahoma"/>
          <w:szCs w:val="24"/>
          <w:shd w:val="clear" w:color="auto" w:fill="FFFFFF"/>
        </w:rPr>
        <w:t>，金融機構為維護借款債權時效利益，勢必直接訴訟，此舉將造成訴訟制度大塞車」</w:t>
      </w:r>
      <w:r w:rsidRPr="00EC1189">
        <w:rPr>
          <w:rFonts w:ascii="標楷體" w:eastAsia="標楷體" w:hAnsi="標楷體" w:cs="Tahoma"/>
          <w:szCs w:val="24"/>
          <w:shd w:val="clear" w:color="auto" w:fill="FFFFFF"/>
        </w:rPr>
        <w:lastRenderedPageBreak/>
        <w:t>的說法，根本就是危言聳</w:t>
      </w:r>
      <w:r w:rsidR="00BA1F34" w:rsidRPr="00EC1189">
        <w:rPr>
          <w:rFonts w:ascii="標楷體" w:eastAsia="標楷體" w:hAnsi="標楷體" w:cs="Tahoma"/>
          <w:szCs w:val="24"/>
          <w:shd w:val="clear" w:color="auto" w:fill="FFFFFF"/>
        </w:rPr>
        <w:t>聽；事實上，</w:t>
      </w:r>
      <w:r w:rsidR="00BA1F34" w:rsidRPr="00EC1189">
        <w:rPr>
          <w:rFonts w:ascii="標楷體" w:eastAsia="標楷體" w:hAnsi="標楷體" w:cs="Tahoma" w:hint="eastAsia"/>
          <w:szCs w:val="24"/>
          <w:shd w:val="clear" w:color="auto" w:fill="FFFFFF"/>
        </w:rPr>
        <w:t>論者認為</w:t>
      </w:r>
      <w:r w:rsidRPr="00EC1189">
        <w:rPr>
          <w:rFonts w:ascii="標楷體" w:eastAsia="標楷體" w:hAnsi="標楷體" w:cs="Tahoma"/>
          <w:szCs w:val="24"/>
          <w:shd w:val="clear" w:color="auto" w:fill="FFFFFF"/>
        </w:rPr>
        <w:t>，金融機構所進行之相關交易，所留存之證據相當齊備，修法後支付命令制度聲請程序還是比訴</w:t>
      </w:r>
      <w:r w:rsidR="00BA1F34" w:rsidRPr="00EC1189">
        <w:rPr>
          <w:rFonts w:ascii="標楷體" w:eastAsia="標楷體" w:hAnsi="標楷體" w:cs="Tahoma"/>
          <w:szCs w:val="24"/>
          <w:shd w:val="clear" w:color="auto" w:fill="FFFFFF"/>
        </w:rPr>
        <w:t>訟簡便、程序費用較便宜，仍然可以據以聲請強制執行，並不會</w:t>
      </w:r>
      <w:r w:rsidR="00BA1F34" w:rsidRPr="00EC1189">
        <w:rPr>
          <w:rFonts w:ascii="標楷體" w:eastAsia="標楷體" w:hAnsi="標楷體" w:cs="Tahoma" w:hint="eastAsia"/>
          <w:szCs w:val="24"/>
          <w:shd w:val="clear" w:color="auto" w:fill="FFFFFF"/>
        </w:rPr>
        <w:t>有實務上</w:t>
      </w:r>
      <w:r w:rsidRPr="00EC1189">
        <w:rPr>
          <w:rFonts w:ascii="標楷體" w:eastAsia="標楷體" w:hAnsi="標楷體" w:cs="Tahoma"/>
          <w:szCs w:val="24"/>
          <w:shd w:val="clear" w:color="auto" w:fill="FFFFFF"/>
        </w:rPr>
        <w:t>所疑慮的金融機構「勢必」直接訴訟的問題。另外，金融機構關心的呆帳認列問題，依《營利事業所得稅查核準則》第九十四條所稱之法院訴追之催收證明，本來就包括依法聲請支付命令、強制執行或起訴等程序之證明文件（參財政部67/02/20台財稅第31145號函），此次修法仍然賦予支付命令得以強制執行的效力，當然得以繼續做為認列呆帳的證明，無需改變現行會計作業。修法不會增加法院不必要的負擔，還可以解決目前無法救濟的爭執案件，不讓法院成為詐騙幫兇</w:t>
      </w:r>
      <w:r w:rsidRPr="00F27425">
        <w:rPr>
          <w:rStyle w:val="a6"/>
          <w:rFonts w:ascii="標楷體" w:eastAsia="標楷體" w:hAnsi="標楷體" w:cs="Tahoma"/>
          <w:szCs w:val="24"/>
          <w:shd w:val="clear" w:color="auto" w:fill="FFFFFF"/>
        </w:rPr>
        <w:footnoteReference w:id="22"/>
      </w:r>
      <w:r w:rsidRPr="00EC1189">
        <w:rPr>
          <w:rFonts w:ascii="標楷體" w:eastAsia="標楷體" w:hAnsi="標楷體" w:cs="Tahoma"/>
          <w:szCs w:val="24"/>
          <w:shd w:val="clear" w:color="auto" w:fill="FFFFFF"/>
        </w:rPr>
        <w:t>。</w:t>
      </w:r>
    </w:p>
    <w:p w14:paraId="2AD477B8" w14:textId="77777777" w:rsidR="0068451E" w:rsidRPr="00F27425" w:rsidRDefault="0068451E" w:rsidP="007A4DCC">
      <w:pPr>
        <w:pStyle w:val="a3"/>
        <w:ind w:leftChars="0"/>
        <w:jc w:val="both"/>
        <w:rPr>
          <w:rFonts w:ascii="標楷體" w:eastAsia="標楷體" w:hAnsi="標楷體" w:cs="Tahoma"/>
          <w:szCs w:val="24"/>
          <w:shd w:val="clear" w:color="auto" w:fill="FFFFFF"/>
        </w:rPr>
      </w:pPr>
    </w:p>
    <w:p w14:paraId="3401A656" w14:textId="74F928A2" w:rsidR="00BF4B11" w:rsidRDefault="0068451E" w:rsidP="00D42A60">
      <w:pPr>
        <w:pStyle w:val="a3"/>
        <w:ind w:leftChars="0" w:firstLineChars="200" w:firstLine="480"/>
        <w:jc w:val="both"/>
        <w:rPr>
          <w:rFonts w:ascii="標楷體" w:eastAsia="標楷體" w:hAnsi="標楷體"/>
          <w:szCs w:val="24"/>
        </w:rPr>
      </w:pPr>
      <w:r w:rsidRPr="00F27425">
        <w:rPr>
          <w:rFonts w:ascii="標楷體" w:eastAsia="標楷體" w:hAnsi="標楷體" w:cs="Tahoma"/>
          <w:szCs w:val="24"/>
          <w:shd w:val="clear" w:color="auto" w:fill="FFFFFF"/>
        </w:rPr>
        <w:t>綜上所述，</w:t>
      </w:r>
      <w:proofErr w:type="gramStart"/>
      <w:r w:rsidR="000E0F46" w:rsidRPr="00F27425">
        <w:rPr>
          <w:rFonts w:ascii="標楷體" w:eastAsia="標楷體" w:hAnsi="標楷體" w:cs="Tahoma"/>
          <w:szCs w:val="24"/>
          <w:shd w:val="clear" w:color="auto" w:fill="FFFFFF"/>
        </w:rPr>
        <w:t>持修法肯定論</w:t>
      </w:r>
      <w:proofErr w:type="gramEnd"/>
      <w:r w:rsidR="000E0F46" w:rsidRPr="00F27425">
        <w:rPr>
          <w:rFonts w:ascii="標楷體" w:eastAsia="標楷體" w:hAnsi="標楷體" w:cs="Tahoma"/>
          <w:szCs w:val="24"/>
          <w:shd w:val="clear" w:color="auto" w:fill="FFFFFF"/>
        </w:rPr>
        <w:t>之見解認為</w:t>
      </w:r>
      <w:r w:rsidR="000E0F46" w:rsidRPr="00F27425">
        <w:rPr>
          <w:rFonts w:ascii="標楷體" w:eastAsia="標楷體" w:hAnsi="標楷體" w:hint="eastAsia"/>
          <w:szCs w:val="24"/>
        </w:rPr>
        <w:t>支付命令過於向債權人傾斜的程序設計，不僅嚴重剝奪債務人基於其訴訟權所應享有之程序保障，甚至所有因某種原因錯失提出異議機會之相對人，均可能因此受害。因此，肯認此次立法者對於支付命令之修訂。</w:t>
      </w:r>
    </w:p>
    <w:p w14:paraId="1598C65D" w14:textId="77777777" w:rsidR="00BF4B11" w:rsidRDefault="00BF4B11" w:rsidP="007A4DCC">
      <w:pPr>
        <w:widowControl/>
        <w:jc w:val="both"/>
        <w:rPr>
          <w:rFonts w:ascii="標楷體" w:eastAsia="標楷體" w:hAnsi="標楷體"/>
          <w:szCs w:val="24"/>
        </w:rPr>
      </w:pPr>
      <w:r>
        <w:rPr>
          <w:rFonts w:ascii="標楷體" w:eastAsia="標楷體" w:hAnsi="標楷體"/>
          <w:szCs w:val="24"/>
        </w:rPr>
        <w:br w:type="page"/>
      </w:r>
    </w:p>
    <w:p w14:paraId="7E53EEB2" w14:textId="1722D5B5" w:rsidR="000E0F46" w:rsidRDefault="005D6449" w:rsidP="007A4DCC">
      <w:pPr>
        <w:pStyle w:val="a3"/>
        <w:numPr>
          <w:ilvl w:val="0"/>
          <w:numId w:val="40"/>
        </w:numPr>
        <w:ind w:leftChars="0"/>
        <w:jc w:val="both"/>
        <w:rPr>
          <w:rFonts w:ascii="標楷體" w:eastAsia="標楷體" w:hAnsi="標楷體"/>
          <w:szCs w:val="24"/>
        </w:rPr>
      </w:pPr>
      <w:r>
        <w:rPr>
          <w:rFonts w:ascii="標楷體" w:eastAsia="標楷體" w:hAnsi="標楷體" w:hint="eastAsia"/>
          <w:szCs w:val="24"/>
        </w:rPr>
        <w:lastRenderedPageBreak/>
        <w:t>結語與建議</w:t>
      </w:r>
    </w:p>
    <w:p w14:paraId="3A4B8259" w14:textId="781789DE" w:rsidR="005A4C76" w:rsidRDefault="005D6449" w:rsidP="00D42A60">
      <w:pPr>
        <w:ind w:leftChars="200" w:left="480" w:firstLineChars="200" w:firstLine="480"/>
        <w:jc w:val="both"/>
        <w:rPr>
          <w:rFonts w:ascii="標楷體" w:eastAsia="標楷體" w:hAnsi="標楷體"/>
          <w:szCs w:val="24"/>
        </w:rPr>
      </w:pPr>
      <w:r w:rsidRPr="005D6449">
        <w:rPr>
          <w:rFonts w:ascii="標楷體" w:eastAsia="標楷體" w:hAnsi="標楷體" w:hint="eastAsia"/>
          <w:szCs w:val="24"/>
        </w:rPr>
        <w:t>督促程序制度歷經數次沿革，由最初之假執行設計，到短期快速確定支付命令且具有與確定判決同樣效力之制度，再至今日支付命令僅具有執行力，於立法</w:t>
      </w:r>
      <w:proofErr w:type="gramStart"/>
      <w:r w:rsidRPr="005D6449">
        <w:rPr>
          <w:rFonts w:ascii="標楷體" w:eastAsia="標楷體" w:hAnsi="標楷體" w:hint="eastAsia"/>
          <w:szCs w:val="24"/>
        </w:rPr>
        <w:t>上均屬相當</w:t>
      </w:r>
      <w:proofErr w:type="gramEnd"/>
      <w:r w:rsidRPr="005D6449">
        <w:rPr>
          <w:rFonts w:ascii="標楷體" w:eastAsia="標楷體" w:hAnsi="標楷體" w:hint="eastAsia"/>
          <w:szCs w:val="24"/>
        </w:rPr>
        <w:t>重大之制度改變。然</w:t>
      </w:r>
      <w:r>
        <w:rPr>
          <w:rFonts w:ascii="標楷體" w:eastAsia="標楷體" w:hAnsi="標楷體" w:hint="eastAsia"/>
          <w:szCs w:val="24"/>
        </w:rPr>
        <w:t>就比較法之角度上無論係</w:t>
      </w:r>
      <w:proofErr w:type="gramStart"/>
      <w:r>
        <w:rPr>
          <w:rFonts w:ascii="標楷體" w:eastAsia="標楷體" w:hAnsi="標楷體" w:hint="eastAsia"/>
          <w:szCs w:val="24"/>
        </w:rPr>
        <w:t>採</w:t>
      </w:r>
      <w:proofErr w:type="gramEnd"/>
      <w:r>
        <w:rPr>
          <w:rFonts w:ascii="標楷體" w:eastAsia="標楷體" w:hAnsi="標楷體" w:hint="eastAsia"/>
          <w:szCs w:val="24"/>
        </w:rPr>
        <w:t>德國法之二階段審查，亦</w:t>
      </w:r>
      <w:r w:rsidR="006B165B">
        <w:rPr>
          <w:rFonts w:ascii="標楷體" w:eastAsia="標楷體" w:hAnsi="標楷體" w:hint="eastAsia"/>
          <w:szCs w:val="24"/>
        </w:rPr>
        <w:t>或是</w:t>
      </w:r>
      <w:r>
        <w:rPr>
          <w:rFonts w:ascii="標楷體" w:eastAsia="標楷體" w:hAnsi="標楷體" w:hint="eastAsia"/>
          <w:szCs w:val="24"/>
        </w:rPr>
        <w:t>奧地利之一階段審查，</w:t>
      </w:r>
      <w:r w:rsidR="006B165B">
        <w:rPr>
          <w:rFonts w:ascii="標楷體" w:eastAsia="標楷體" w:hAnsi="標楷體" w:hint="eastAsia"/>
          <w:szCs w:val="24"/>
        </w:rPr>
        <w:t>在修法角度上仍應著重於督促程序最初始的設計目的，即係以</w:t>
      </w:r>
      <w:r w:rsidR="006B165B" w:rsidRPr="00F27425">
        <w:rPr>
          <w:rFonts w:ascii="標楷體" w:eastAsia="標楷體" w:hAnsi="標楷體" w:hint="eastAsia"/>
          <w:szCs w:val="24"/>
        </w:rPr>
        <w:t>較通常程序快速、簡易、便宜之特別程序，</w:t>
      </w:r>
      <w:r w:rsidR="006B165B">
        <w:rPr>
          <w:rFonts w:ascii="標楷體" w:eastAsia="標楷體" w:hAnsi="標楷體" w:hint="eastAsia"/>
          <w:szCs w:val="24"/>
        </w:rPr>
        <w:t>協助債權人以較有效之方式實現債權。</w:t>
      </w:r>
      <w:proofErr w:type="gramStart"/>
      <w:r w:rsidR="00B80588">
        <w:rPr>
          <w:rFonts w:ascii="標楷體" w:eastAsia="標楷體" w:hAnsi="標楷體" w:hint="eastAsia"/>
          <w:szCs w:val="24"/>
        </w:rPr>
        <w:t>惟</w:t>
      </w:r>
      <w:proofErr w:type="gramEnd"/>
      <w:r w:rsidR="00B80588">
        <w:rPr>
          <w:rFonts w:ascii="標楷體" w:eastAsia="標楷體" w:hAnsi="標楷體" w:hint="eastAsia"/>
          <w:szCs w:val="24"/>
        </w:rPr>
        <w:t>就此次修法手法上言之，立法者逕自將支付命令之</w:t>
      </w:r>
      <w:proofErr w:type="gramStart"/>
      <w:r w:rsidR="00B80588">
        <w:rPr>
          <w:rFonts w:ascii="標楷體" w:eastAsia="標楷體" w:hAnsi="標楷體" w:hint="eastAsia"/>
          <w:szCs w:val="24"/>
        </w:rPr>
        <w:t>既判力</w:t>
      </w:r>
      <w:proofErr w:type="gramEnd"/>
      <w:r w:rsidR="00B80588">
        <w:rPr>
          <w:rFonts w:ascii="標楷體" w:eastAsia="標楷體" w:hAnsi="標楷體" w:hint="eastAsia"/>
          <w:szCs w:val="24"/>
        </w:rPr>
        <w:t>修改僅具執行力，</w:t>
      </w:r>
      <w:proofErr w:type="gramStart"/>
      <w:r w:rsidR="00B80588">
        <w:rPr>
          <w:rFonts w:ascii="標楷體" w:eastAsia="標楷體" w:hAnsi="標楷體" w:hint="eastAsia"/>
          <w:szCs w:val="24"/>
        </w:rPr>
        <w:t>似若有</w:t>
      </w:r>
      <w:proofErr w:type="gramEnd"/>
      <w:r w:rsidR="00B80588">
        <w:rPr>
          <w:rFonts w:ascii="標楷體" w:eastAsia="標楷體" w:hAnsi="標楷體" w:hint="eastAsia"/>
          <w:szCs w:val="24"/>
        </w:rPr>
        <w:t>違上述程序之目的。</w:t>
      </w:r>
      <w:r w:rsidR="009818E5">
        <w:rPr>
          <w:rFonts w:ascii="標楷體" w:eastAsia="標楷體" w:hAnsi="標楷體" w:hint="eastAsia"/>
          <w:szCs w:val="24"/>
        </w:rPr>
        <w:t>且再就立法者於此次修法中最為著重之救濟程序探之，就</w:t>
      </w:r>
      <w:proofErr w:type="gramStart"/>
      <w:r w:rsidR="009818E5">
        <w:rPr>
          <w:rFonts w:ascii="標楷體" w:eastAsia="標楷體" w:hAnsi="標楷體" w:hint="eastAsia"/>
          <w:szCs w:val="24"/>
        </w:rPr>
        <w:t>本文參就修法後</w:t>
      </w:r>
      <w:proofErr w:type="gramEnd"/>
      <w:r w:rsidR="009818E5">
        <w:rPr>
          <w:rFonts w:ascii="標楷體" w:eastAsia="標楷體" w:hAnsi="標楷體" w:hint="eastAsia"/>
          <w:szCs w:val="24"/>
        </w:rPr>
        <w:t>(救濟程序)各判決之比較，雖法院在訴訟程序上因支付命令已無</w:t>
      </w:r>
      <w:proofErr w:type="gramStart"/>
      <w:r w:rsidR="009818E5">
        <w:rPr>
          <w:rFonts w:ascii="標楷體" w:eastAsia="標楷體" w:hAnsi="標楷體" w:hint="eastAsia"/>
          <w:szCs w:val="24"/>
        </w:rPr>
        <w:t>既判力</w:t>
      </w:r>
      <w:proofErr w:type="gramEnd"/>
      <w:r w:rsidR="009818E5">
        <w:rPr>
          <w:rFonts w:ascii="標楷體" w:eastAsia="標楷體" w:hAnsi="標楷體" w:hint="eastAsia"/>
          <w:szCs w:val="24"/>
        </w:rPr>
        <w:t>，已有較修法前寬鬆，惟(債務人)在實體辯論程序中仍多以駁回收場。</w:t>
      </w:r>
      <w:proofErr w:type="gramStart"/>
      <w:r w:rsidR="007A492C">
        <w:rPr>
          <w:rFonts w:ascii="標楷體" w:eastAsia="標楷體" w:hAnsi="標楷體" w:hint="eastAsia"/>
          <w:szCs w:val="24"/>
        </w:rPr>
        <w:t>係故</w:t>
      </w:r>
      <w:proofErr w:type="gramEnd"/>
      <w:r w:rsidR="007A492C">
        <w:rPr>
          <w:rFonts w:ascii="標楷體" w:eastAsia="標楷體" w:hAnsi="標楷體" w:hint="eastAsia"/>
          <w:szCs w:val="24"/>
        </w:rPr>
        <w:t>，此次立法者對於督促程序修法之</w:t>
      </w:r>
      <w:r w:rsidR="00BB4F2F">
        <w:rPr>
          <w:rFonts w:ascii="標楷體" w:eastAsia="標楷體" w:hAnsi="標楷體" w:hint="eastAsia"/>
          <w:szCs w:val="24"/>
        </w:rPr>
        <w:t>出發點值得肯認</w:t>
      </w:r>
      <w:r w:rsidR="007A492C">
        <w:rPr>
          <w:rFonts w:ascii="標楷體" w:eastAsia="標楷體" w:hAnsi="標楷體" w:hint="eastAsia"/>
          <w:szCs w:val="24"/>
        </w:rPr>
        <w:t>，惟如上述提及，擅將</w:t>
      </w:r>
      <w:proofErr w:type="gramStart"/>
      <w:r w:rsidR="007A492C">
        <w:rPr>
          <w:rFonts w:ascii="標楷體" w:eastAsia="標楷體" w:hAnsi="標楷體" w:hint="eastAsia"/>
          <w:szCs w:val="24"/>
        </w:rPr>
        <w:t>既判力刪</w:t>
      </w:r>
      <w:proofErr w:type="gramEnd"/>
      <w:r w:rsidR="007A492C">
        <w:rPr>
          <w:rFonts w:ascii="標楷體" w:eastAsia="標楷體" w:hAnsi="標楷體" w:hint="eastAsia"/>
          <w:szCs w:val="24"/>
        </w:rPr>
        <w:t>替，</w:t>
      </w:r>
      <w:proofErr w:type="gramStart"/>
      <w:r w:rsidR="007A492C">
        <w:rPr>
          <w:rFonts w:ascii="標楷體" w:eastAsia="標楷體" w:hAnsi="標楷體" w:hint="eastAsia"/>
          <w:szCs w:val="24"/>
        </w:rPr>
        <w:t>係否有</w:t>
      </w:r>
      <w:proofErr w:type="gramEnd"/>
      <w:r w:rsidR="007A492C">
        <w:rPr>
          <w:rFonts w:ascii="標楷體" w:eastAsia="標楷體" w:hAnsi="標楷體" w:hint="eastAsia"/>
          <w:szCs w:val="24"/>
        </w:rPr>
        <w:t>助債權債務人之利益平衡，及是否影響督促程序之原設計之效用，仍有待查察。</w:t>
      </w:r>
      <w:r w:rsidR="00BB4F2F">
        <w:rPr>
          <w:rFonts w:ascii="標楷體" w:eastAsia="標楷體" w:hAnsi="標楷體" w:hint="eastAsia"/>
          <w:szCs w:val="24"/>
        </w:rPr>
        <w:t>且若在就各</w:t>
      </w:r>
      <w:r w:rsidR="007A492C">
        <w:rPr>
          <w:rFonts w:ascii="標楷體" w:eastAsia="標楷體" w:hAnsi="標楷體" w:hint="eastAsia"/>
          <w:szCs w:val="24"/>
        </w:rPr>
        <w:t>案例</w:t>
      </w:r>
      <w:proofErr w:type="gramStart"/>
      <w:r w:rsidR="007A492C">
        <w:rPr>
          <w:rFonts w:ascii="標楷體" w:eastAsia="標楷體" w:hAnsi="標楷體" w:hint="eastAsia"/>
          <w:szCs w:val="24"/>
        </w:rPr>
        <w:t>之發見</w:t>
      </w:r>
      <w:proofErr w:type="gramEnd"/>
      <w:r w:rsidR="007A492C">
        <w:rPr>
          <w:rFonts w:ascii="標楷體" w:eastAsia="標楷體" w:hAnsi="標楷體" w:hint="eastAsia"/>
          <w:szCs w:val="24"/>
        </w:rPr>
        <w:t>，大多</w:t>
      </w:r>
      <w:proofErr w:type="gramStart"/>
      <w:r w:rsidR="007A492C">
        <w:rPr>
          <w:rFonts w:ascii="標楷體" w:eastAsia="標楷體" w:hAnsi="標楷體" w:hint="eastAsia"/>
          <w:szCs w:val="24"/>
        </w:rPr>
        <w:t>受到詐害債權</w:t>
      </w:r>
      <w:proofErr w:type="gramEnd"/>
      <w:r w:rsidR="000F2FC0">
        <w:rPr>
          <w:rFonts w:ascii="標楷體" w:eastAsia="標楷體" w:hAnsi="標楷體" w:hint="eastAsia"/>
          <w:szCs w:val="24"/>
        </w:rPr>
        <w:t>而受到不利之個案中，最直接之原因多仍歸究於</w:t>
      </w:r>
      <w:r w:rsidR="007A492C">
        <w:rPr>
          <w:rFonts w:ascii="標楷體" w:eastAsia="標楷體" w:hAnsi="標楷體" w:hint="eastAsia"/>
          <w:szCs w:val="24"/>
        </w:rPr>
        <w:t>普遍人民對法治之不理解，而使法律原所設立保障債務人之權利</w:t>
      </w:r>
      <w:proofErr w:type="gramStart"/>
      <w:r w:rsidR="007A492C">
        <w:rPr>
          <w:rFonts w:ascii="標楷體" w:eastAsia="標楷體" w:hAnsi="標楷體" w:hint="eastAsia"/>
          <w:szCs w:val="24"/>
        </w:rPr>
        <w:t>罹</w:t>
      </w:r>
      <w:proofErr w:type="gramEnd"/>
      <w:r w:rsidR="007A492C">
        <w:rPr>
          <w:rFonts w:ascii="標楷體" w:eastAsia="標楷體" w:hAnsi="標楷體" w:hint="eastAsia"/>
          <w:szCs w:val="24"/>
        </w:rPr>
        <w:t>於失效</w:t>
      </w:r>
      <w:r w:rsidR="00470102">
        <w:rPr>
          <w:rFonts w:ascii="標楷體" w:eastAsia="標楷體" w:hAnsi="標楷體" w:hint="eastAsia"/>
          <w:szCs w:val="24"/>
        </w:rPr>
        <w:t>。</w:t>
      </w:r>
      <w:proofErr w:type="gramStart"/>
      <w:r w:rsidR="000F2FC0">
        <w:rPr>
          <w:rFonts w:ascii="標楷體" w:eastAsia="標楷體" w:hAnsi="標楷體" w:hint="eastAsia"/>
          <w:szCs w:val="24"/>
        </w:rPr>
        <w:t>爰</w:t>
      </w:r>
      <w:proofErr w:type="gramEnd"/>
      <w:r w:rsidR="000F2FC0">
        <w:rPr>
          <w:rFonts w:ascii="標楷體" w:eastAsia="標楷體" w:hAnsi="標楷體" w:hint="eastAsia"/>
          <w:szCs w:val="24"/>
        </w:rPr>
        <w:t>此，本文認為，</w:t>
      </w:r>
      <w:proofErr w:type="gramStart"/>
      <w:r w:rsidR="000F2FC0">
        <w:rPr>
          <w:rFonts w:ascii="標楷體" w:eastAsia="標楷體" w:hAnsi="標楷體" w:hint="eastAsia"/>
          <w:szCs w:val="24"/>
        </w:rPr>
        <w:t>一</w:t>
      </w:r>
      <w:proofErr w:type="gramEnd"/>
      <w:r w:rsidR="000F2FC0">
        <w:rPr>
          <w:rFonts w:ascii="標楷體" w:eastAsia="標楷體" w:hAnsi="標楷體" w:hint="eastAsia"/>
          <w:szCs w:val="24"/>
        </w:rPr>
        <w:t>程序</w:t>
      </w:r>
      <w:r w:rsidR="00BB4F2F">
        <w:rPr>
          <w:rFonts w:ascii="標楷體" w:eastAsia="標楷體" w:hAnsi="標楷體" w:hint="eastAsia"/>
          <w:szCs w:val="24"/>
        </w:rPr>
        <w:t>無論是參酌何國立法例亦或是何種法律適用要件之設定，</w:t>
      </w:r>
      <w:proofErr w:type="gramStart"/>
      <w:r w:rsidR="00BB4F2F">
        <w:rPr>
          <w:rFonts w:ascii="標楷體" w:eastAsia="標楷體" w:hAnsi="標楷體" w:hint="eastAsia"/>
          <w:szCs w:val="24"/>
        </w:rPr>
        <w:t>均係立法者審</w:t>
      </w:r>
      <w:proofErr w:type="gramEnd"/>
      <w:r w:rsidR="00BB4F2F">
        <w:rPr>
          <w:rFonts w:ascii="標楷體" w:eastAsia="標楷體" w:hAnsi="標楷體" w:hint="eastAsia"/>
          <w:szCs w:val="24"/>
        </w:rPr>
        <w:t>酌</w:t>
      </w:r>
      <w:proofErr w:type="gramStart"/>
      <w:r w:rsidR="00BB4F2F">
        <w:rPr>
          <w:rFonts w:ascii="標楷體" w:eastAsia="標楷體" w:hAnsi="標楷體" w:hint="eastAsia"/>
          <w:szCs w:val="24"/>
        </w:rPr>
        <w:t>一</w:t>
      </w:r>
      <w:proofErr w:type="gramEnd"/>
      <w:r w:rsidR="00BB4F2F">
        <w:rPr>
          <w:rFonts w:ascii="標楷體" w:eastAsia="標楷體" w:hAnsi="標楷體" w:hint="eastAsia"/>
          <w:szCs w:val="24"/>
        </w:rPr>
        <w:t>社會之</w:t>
      </w:r>
      <w:proofErr w:type="gramStart"/>
      <w:r w:rsidR="00BB4F2F">
        <w:rPr>
          <w:rFonts w:ascii="標楷體" w:eastAsia="標楷體" w:hAnsi="標楷體" w:hint="eastAsia"/>
          <w:szCs w:val="24"/>
        </w:rPr>
        <w:t>態樣所</w:t>
      </w:r>
      <w:r w:rsidR="00470102">
        <w:rPr>
          <w:rFonts w:ascii="標楷體" w:eastAsia="標楷體" w:hAnsi="標楷體" w:hint="eastAsia"/>
          <w:szCs w:val="24"/>
        </w:rPr>
        <w:t>制定</w:t>
      </w:r>
      <w:proofErr w:type="gramEnd"/>
      <w:r w:rsidR="00470102">
        <w:rPr>
          <w:rFonts w:ascii="標楷體" w:eastAsia="標楷體" w:hAnsi="標楷體" w:hint="eastAsia"/>
          <w:szCs w:val="24"/>
        </w:rPr>
        <w:t>，但</w:t>
      </w:r>
      <w:proofErr w:type="gramStart"/>
      <w:r w:rsidR="00470102">
        <w:rPr>
          <w:rFonts w:ascii="標楷體" w:eastAsia="標楷體" w:hAnsi="標楷體" w:hint="eastAsia"/>
          <w:szCs w:val="24"/>
        </w:rPr>
        <w:t>一</w:t>
      </w:r>
      <w:proofErr w:type="gramEnd"/>
      <w:r w:rsidR="00470102">
        <w:rPr>
          <w:rFonts w:ascii="標楷體" w:eastAsia="標楷體" w:hAnsi="標楷體" w:hint="eastAsia"/>
          <w:szCs w:val="24"/>
        </w:rPr>
        <w:t>制度最初的出發點在好、</w:t>
      </w:r>
      <w:proofErr w:type="gramStart"/>
      <w:r w:rsidR="00470102">
        <w:rPr>
          <w:rFonts w:ascii="標楷體" w:eastAsia="標楷體" w:hAnsi="標楷體" w:hint="eastAsia"/>
          <w:szCs w:val="24"/>
        </w:rPr>
        <w:t>一</w:t>
      </w:r>
      <w:proofErr w:type="gramEnd"/>
      <w:r w:rsidR="00470102">
        <w:rPr>
          <w:rFonts w:ascii="標楷體" w:eastAsia="標楷體" w:hAnsi="標楷體" w:hint="eastAsia"/>
          <w:szCs w:val="24"/>
        </w:rPr>
        <w:t>制度設計的在好，若普遍社會大眾對於法律之認識不足，仍會失其制度保障之效用。故本文認為，督促程序固然仍有參酌之空間，但最重要的還是對於人民的法治教育，讓人民認識</w:t>
      </w:r>
      <w:proofErr w:type="gramStart"/>
      <w:r w:rsidR="00470102">
        <w:rPr>
          <w:rFonts w:ascii="標楷體" w:eastAsia="標楷體" w:hAnsi="標楷體" w:hint="eastAsia"/>
          <w:szCs w:val="24"/>
        </w:rPr>
        <w:t>一</w:t>
      </w:r>
      <w:proofErr w:type="gramEnd"/>
      <w:r w:rsidR="00470102">
        <w:rPr>
          <w:rFonts w:ascii="標楷體" w:eastAsia="標楷體" w:hAnsi="標楷體" w:hint="eastAsia"/>
          <w:szCs w:val="24"/>
        </w:rPr>
        <w:t>制度</w:t>
      </w:r>
      <w:r w:rsidR="005A4C76">
        <w:rPr>
          <w:rFonts w:ascii="標楷體" w:eastAsia="標楷體" w:hAnsi="標楷體" w:hint="eastAsia"/>
          <w:szCs w:val="24"/>
        </w:rPr>
        <w:t>的運用，</w:t>
      </w:r>
      <w:proofErr w:type="gramStart"/>
      <w:r w:rsidR="005A4C76">
        <w:rPr>
          <w:rFonts w:ascii="標楷體" w:eastAsia="標楷體" w:hAnsi="標楷體" w:hint="eastAsia"/>
          <w:szCs w:val="24"/>
        </w:rPr>
        <w:t>避免承如第一</w:t>
      </w:r>
      <w:proofErr w:type="gramEnd"/>
      <w:r w:rsidR="005A4C76">
        <w:rPr>
          <w:rFonts w:ascii="標楷體" w:eastAsia="標楷體" w:hAnsi="標楷體" w:hint="eastAsia"/>
          <w:szCs w:val="24"/>
        </w:rPr>
        <w:t>章所述之社會問題不停上演。</w:t>
      </w:r>
    </w:p>
    <w:p w14:paraId="2352B9FB" w14:textId="77777777" w:rsidR="00AD5F59" w:rsidRDefault="00AD5F59" w:rsidP="007A4DCC">
      <w:pPr>
        <w:ind w:leftChars="200" w:left="480"/>
        <w:jc w:val="both"/>
        <w:rPr>
          <w:rFonts w:ascii="標楷體" w:eastAsia="標楷體" w:hAnsi="標楷體"/>
          <w:szCs w:val="24"/>
        </w:rPr>
      </w:pPr>
    </w:p>
    <w:p w14:paraId="298AF63F" w14:textId="4A5ED940" w:rsidR="0068451E" w:rsidRPr="00BB4F2F" w:rsidRDefault="0068451E" w:rsidP="007A4DCC">
      <w:pPr>
        <w:ind w:leftChars="200" w:left="480"/>
        <w:jc w:val="both"/>
        <w:rPr>
          <w:rFonts w:ascii="標楷體" w:eastAsia="標楷體" w:hAnsi="標楷體"/>
          <w:szCs w:val="24"/>
        </w:rPr>
      </w:pPr>
    </w:p>
    <w:sectPr w:rsidR="0068451E" w:rsidRPr="00BB4F2F" w:rsidSect="000712F5">
      <w:type w:val="continuous"/>
      <w:pgSz w:w="11906" w:h="16838"/>
      <w:pgMar w:top="1440" w:right="1800" w:bottom="1440" w:left="1800"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5FB6F" w14:textId="77777777" w:rsidR="000C7A10" w:rsidRDefault="000C7A10" w:rsidP="00B35E6C">
      <w:r>
        <w:separator/>
      </w:r>
    </w:p>
  </w:endnote>
  <w:endnote w:type="continuationSeparator" w:id="0">
    <w:p w14:paraId="557334B0" w14:textId="77777777" w:rsidR="000C7A10" w:rsidRDefault="000C7A10" w:rsidP="00B3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70573"/>
      <w:docPartObj>
        <w:docPartGallery w:val="Page Numbers (Bottom of Page)"/>
        <w:docPartUnique/>
      </w:docPartObj>
    </w:sdtPr>
    <w:sdtEndPr>
      <w:rPr>
        <w:rFonts w:ascii="標楷體" w:eastAsia="標楷體" w:hAnsi="標楷體"/>
      </w:rPr>
    </w:sdtEndPr>
    <w:sdtContent>
      <w:p w14:paraId="39EBBF74" w14:textId="5B653EA4" w:rsidR="00BD343C" w:rsidRPr="00BD343C" w:rsidRDefault="00BD343C">
        <w:pPr>
          <w:pStyle w:val="a9"/>
          <w:jc w:val="center"/>
          <w:rPr>
            <w:rFonts w:ascii="標楷體" w:eastAsia="標楷體" w:hAnsi="標楷體"/>
          </w:rPr>
        </w:pPr>
        <w:r w:rsidRPr="00BD343C">
          <w:rPr>
            <w:rFonts w:ascii="標楷體" w:eastAsia="標楷體" w:hAnsi="標楷體"/>
          </w:rPr>
          <w:fldChar w:fldCharType="begin"/>
        </w:r>
        <w:r w:rsidRPr="00BD343C">
          <w:rPr>
            <w:rFonts w:ascii="標楷體" w:eastAsia="標楷體" w:hAnsi="標楷體"/>
          </w:rPr>
          <w:instrText>PAGE   \* MERGEFORMAT</w:instrText>
        </w:r>
        <w:r w:rsidRPr="00BD343C">
          <w:rPr>
            <w:rFonts w:ascii="標楷體" w:eastAsia="標楷體" w:hAnsi="標楷體"/>
          </w:rPr>
          <w:fldChar w:fldCharType="separate"/>
        </w:r>
        <w:r w:rsidR="00782345" w:rsidRPr="00782345">
          <w:rPr>
            <w:rFonts w:ascii="標楷體" w:eastAsia="標楷體" w:hAnsi="標楷體"/>
            <w:noProof/>
            <w:lang w:val="zh-TW"/>
          </w:rPr>
          <w:t>3</w:t>
        </w:r>
        <w:r w:rsidRPr="00BD343C">
          <w:rPr>
            <w:rFonts w:ascii="標楷體" w:eastAsia="標楷體" w:hAnsi="標楷體"/>
          </w:rPr>
          <w:fldChar w:fldCharType="end"/>
        </w:r>
      </w:p>
    </w:sdtContent>
  </w:sdt>
  <w:p w14:paraId="30D5DD47" w14:textId="77777777" w:rsidR="00BD343C" w:rsidRPr="00BD343C" w:rsidRDefault="00BD343C">
    <w:pPr>
      <w:pStyle w:val="a9"/>
      <w:rPr>
        <w:rFonts w:ascii="標楷體" w:eastAsia="標楷體" w:hAnsi="標楷體"/>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79BB4" w14:textId="77777777" w:rsidR="000C7A10" w:rsidRDefault="000C7A10" w:rsidP="00B35E6C">
      <w:r>
        <w:separator/>
      </w:r>
    </w:p>
  </w:footnote>
  <w:footnote w:type="continuationSeparator" w:id="0">
    <w:p w14:paraId="1A7CAE0B" w14:textId="77777777" w:rsidR="000C7A10" w:rsidRDefault="000C7A10" w:rsidP="00B35E6C">
      <w:r>
        <w:continuationSeparator/>
      </w:r>
    </w:p>
  </w:footnote>
  <w:footnote w:id="1">
    <w:p w14:paraId="73D7CFD3" w14:textId="77777777" w:rsidR="00B9266D" w:rsidRDefault="00B9266D">
      <w:pPr>
        <w:pStyle w:val="a4"/>
      </w:pPr>
      <w:r>
        <w:rPr>
          <w:rStyle w:val="a6"/>
        </w:rPr>
        <w:footnoteRef/>
      </w:r>
      <w:r>
        <w:t xml:space="preserve"> </w:t>
      </w:r>
      <w:r w:rsidRPr="00B35E6C">
        <w:rPr>
          <w:rFonts w:ascii="標楷體" w:eastAsia="標楷體" w:hAnsi="標楷體" w:hint="eastAsia"/>
        </w:rPr>
        <w:t>陳啟垂</w:t>
      </w:r>
      <w:r>
        <w:rPr>
          <w:rFonts w:ascii="標楷體" w:eastAsia="標楷體" w:hAnsi="標楷體" w:hint="eastAsia"/>
        </w:rPr>
        <w:t>，支付命令的效力，月旦法學教室，2005年，37期，頁14。</w:t>
      </w:r>
    </w:p>
  </w:footnote>
  <w:footnote w:id="2">
    <w:p w14:paraId="394CD261" w14:textId="77777777" w:rsidR="00B9266D" w:rsidRDefault="00B9266D" w:rsidP="0083008F">
      <w:pPr>
        <w:pStyle w:val="a4"/>
      </w:pPr>
      <w:r>
        <w:rPr>
          <w:rStyle w:val="a6"/>
        </w:rPr>
        <w:footnoteRef/>
      </w:r>
      <w:r>
        <w:t xml:space="preserve"> </w:t>
      </w:r>
      <w:r w:rsidRPr="0083008F">
        <w:rPr>
          <w:rFonts w:ascii="標楷體" w:eastAsia="標楷體" w:hAnsi="標楷體" w:hint="eastAsia"/>
        </w:rPr>
        <w:t>吳明軒</w:t>
      </w:r>
      <w:r>
        <w:rPr>
          <w:rFonts w:ascii="標楷體" w:eastAsia="標楷體" w:hAnsi="標楷體" w:hint="eastAsia"/>
        </w:rPr>
        <w:t>，民事訴訟法所定督促程序缺失改善之建議，月旦裁判時報，2015年，28期，頁14。</w:t>
      </w:r>
    </w:p>
  </w:footnote>
  <w:footnote w:id="3">
    <w:p w14:paraId="532FAF79" w14:textId="77777777" w:rsidR="00B9266D" w:rsidRPr="00F27425" w:rsidRDefault="00B9266D">
      <w:pPr>
        <w:pStyle w:val="a4"/>
        <w:rPr>
          <w:rFonts w:ascii="標楷體" w:eastAsia="標楷體" w:hAnsi="標楷體"/>
        </w:rPr>
      </w:pPr>
      <w:r w:rsidRPr="00F27425">
        <w:rPr>
          <w:rStyle w:val="a6"/>
          <w:rFonts w:ascii="標楷體" w:eastAsia="標楷體" w:hAnsi="標楷體"/>
        </w:rPr>
        <w:footnoteRef/>
      </w:r>
      <w:r w:rsidRPr="00F27425">
        <w:rPr>
          <w:rFonts w:ascii="標楷體" w:eastAsia="標楷體" w:hAnsi="標楷體"/>
        </w:rPr>
        <w:t xml:space="preserve"> </w:t>
      </w:r>
      <w:r w:rsidR="002E36AE" w:rsidRPr="00F27425">
        <w:rPr>
          <w:rFonts w:ascii="標楷體" w:eastAsia="標楷體" w:hAnsi="標楷體" w:hint="eastAsia"/>
        </w:rPr>
        <w:t>表格參照</w:t>
      </w:r>
      <w:r w:rsidRPr="00F27425">
        <w:rPr>
          <w:rFonts w:ascii="標楷體" w:eastAsia="標楷體" w:hAnsi="標楷體"/>
        </w:rPr>
        <w:t>立法院第 8 屆第 7 會期第 15 次會議議案關係文書</w:t>
      </w:r>
      <w:r w:rsidRPr="00F27425">
        <w:rPr>
          <w:rFonts w:ascii="標楷體" w:eastAsia="標楷體" w:hAnsi="標楷體" w:hint="eastAsia"/>
        </w:rPr>
        <w:t>，頁161。</w:t>
      </w:r>
    </w:p>
  </w:footnote>
  <w:footnote w:id="4">
    <w:p w14:paraId="676BA5CC" w14:textId="77777777" w:rsidR="00B9266D" w:rsidRPr="00F27425" w:rsidRDefault="00B9266D">
      <w:pPr>
        <w:pStyle w:val="a4"/>
        <w:rPr>
          <w:rFonts w:ascii="標楷體" w:eastAsia="標楷體" w:hAnsi="標楷體"/>
        </w:rPr>
      </w:pPr>
      <w:r w:rsidRPr="00F27425">
        <w:rPr>
          <w:rStyle w:val="a6"/>
          <w:rFonts w:ascii="標楷體" w:eastAsia="標楷體" w:hAnsi="標楷體"/>
        </w:rPr>
        <w:footnoteRef/>
      </w:r>
      <w:r w:rsidRPr="00F27425">
        <w:rPr>
          <w:rFonts w:ascii="標楷體" w:eastAsia="標楷體" w:hAnsi="標楷體"/>
        </w:rPr>
        <w:t xml:space="preserve"> </w:t>
      </w:r>
      <w:r w:rsidRPr="00F27425">
        <w:rPr>
          <w:rFonts w:ascii="標楷體" w:eastAsia="標楷體" w:hAnsi="標楷體" w:hint="eastAsia"/>
        </w:rPr>
        <w:t>姜世明，督促程序與公示催告程序，月旦法學教室，2008年，</w:t>
      </w:r>
      <w:r w:rsidRPr="00F27425">
        <w:rPr>
          <w:rFonts w:ascii="標楷體" w:eastAsia="標楷體" w:hAnsi="標楷體"/>
        </w:rPr>
        <w:t>6</w:t>
      </w:r>
      <w:r w:rsidRPr="00F27425">
        <w:rPr>
          <w:rFonts w:ascii="標楷體" w:eastAsia="標楷體" w:hAnsi="標楷體" w:hint="eastAsia"/>
        </w:rPr>
        <w:t>7期，頁</w:t>
      </w:r>
      <w:r w:rsidRPr="00F27425">
        <w:rPr>
          <w:rFonts w:ascii="標楷體" w:eastAsia="標楷體" w:hAnsi="標楷體"/>
        </w:rPr>
        <w:t>45</w:t>
      </w:r>
      <w:r w:rsidRPr="00F27425">
        <w:rPr>
          <w:rFonts w:ascii="標楷體" w:eastAsia="標楷體" w:hAnsi="標楷體" w:hint="eastAsia"/>
        </w:rPr>
        <w:t>~46。</w:t>
      </w:r>
    </w:p>
  </w:footnote>
  <w:footnote w:id="5">
    <w:p w14:paraId="27C47214" w14:textId="77777777" w:rsidR="00B9266D" w:rsidRPr="00F27425" w:rsidRDefault="00B9266D">
      <w:pPr>
        <w:pStyle w:val="a4"/>
        <w:rPr>
          <w:rFonts w:ascii="標楷體" w:eastAsia="標楷體" w:hAnsi="標楷體"/>
        </w:rPr>
      </w:pPr>
      <w:r w:rsidRPr="00F27425">
        <w:rPr>
          <w:rStyle w:val="a6"/>
          <w:rFonts w:ascii="標楷體" w:eastAsia="標楷體" w:hAnsi="標楷體"/>
        </w:rPr>
        <w:footnoteRef/>
      </w:r>
      <w:r w:rsidRPr="00F27425">
        <w:rPr>
          <w:rFonts w:ascii="標楷體" w:eastAsia="標楷體" w:hAnsi="標楷體"/>
        </w:rPr>
        <w:t xml:space="preserve"> </w:t>
      </w:r>
      <w:r w:rsidR="00BA1F34" w:rsidRPr="00F27425">
        <w:rPr>
          <w:rFonts w:ascii="標楷體" w:eastAsia="標楷體" w:hAnsi="標楷體" w:hint="eastAsia"/>
        </w:rPr>
        <w:t>姜世明，</w:t>
      </w:r>
      <w:r w:rsidRPr="00F27425">
        <w:rPr>
          <w:rFonts w:ascii="標楷體" w:eastAsia="標楷體" w:hAnsi="標楷體" w:hint="eastAsia"/>
        </w:rPr>
        <w:t>同上註。</w:t>
      </w:r>
    </w:p>
  </w:footnote>
  <w:footnote w:id="6">
    <w:p w14:paraId="3659437B" w14:textId="77777777" w:rsidR="00B9266D" w:rsidRPr="00F27425" w:rsidRDefault="00B9266D">
      <w:pPr>
        <w:pStyle w:val="a4"/>
        <w:rPr>
          <w:rFonts w:ascii="標楷體" w:eastAsia="標楷體" w:hAnsi="標楷體"/>
        </w:rPr>
      </w:pPr>
      <w:r w:rsidRPr="00F27425">
        <w:rPr>
          <w:rStyle w:val="a6"/>
          <w:rFonts w:ascii="標楷體" w:eastAsia="標楷體" w:hAnsi="標楷體"/>
        </w:rPr>
        <w:footnoteRef/>
      </w:r>
      <w:r w:rsidRPr="00F27425">
        <w:rPr>
          <w:rFonts w:ascii="標楷體" w:eastAsia="標楷體" w:hAnsi="標楷體"/>
        </w:rPr>
        <w:t xml:space="preserve"> </w:t>
      </w:r>
      <w:r w:rsidR="00BA1F34" w:rsidRPr="00F27425">
        <w:rPr>
          <w:rFonts w:ascii="標楷體" w:eastAsia="標楷體" w:hAnsi="標楷體" w:hint="eastAsia"/>
        </w:rPr>
        <w:t>姜世明，</w:t>
      </w:r>
      <w:r w:rsidRPr="00F27425">
        <w:rPr>
          <w:rFonts w:ascii="標楷體" w:eastAsia="標楷體" w:hAnsi="標楷體" w:hint="eastAsia"/>
        </w:rPr>
        <w:t>同上註，頁46~47頁。</w:t>
      </w:r>
    </w:p>
  </w:footnote>
  <w:footnote w:id="7">
    <w:p w14:paraId="197E93D6" w14:textId="77777777" w:rsidR="00B9266D" w:rsidRDefault="00B9266D">
      <w:pPr>
        <w:pStyle w:val="a4"/>
      </w:pPr>
      <w:r w:rsidRPr="00F27425">
        <w:rPr>
          <w:rStyle w:val="a6"/>
          <w:rFonts w:ascii="標楷體" w:eastAsia="標楷體" w:hAnsi="標楷體"/>
        </w:rPr>
        <w:footnoteRef/>
      </w:r>
      <w:r w:rsidRPr="00F27425">
        <w:rPr>
          <w:rFonts w:ascii="標楷體" w:eastAsia="標楷體" w:hAnsi="標楷體"/>
        </w:rPr>
        <w:t xml:space="preserve"> </w:t>
      </w:r>
      <w:r w:rsidR="00BA1F34" w:rsidRPr="00F27425">
        <w:rPr>
          <w:rFonts w:ascii="標楷體" w:eastAsia="標楷體" w:hAnsi="標楷體" w:hint="eastAsia"/>
        </w:rPr>
        <w:t>姜世明，</w:t>
      </w:r>
      <w:r w:rsidRPr="00F27425">
        <w:rPr>
          <w:rFonts w:ascii="標楷體" w:eastAsia="標楷體" w:hAnsi="標楷體" w:hint="eastAsia"/>
        </w:rPr>
        <w:t>同上註。</w:t>
      </w:r>
    </w:p>
  </w:footnote>
  <w:footnote w:id="8">
    <w:p w14:paraId="46173424" w14:textId="77777777" w:rsidR="00B9266D" w:rsidRPr="000C2012" w:rsidRDefault="00B9266D">
      <w:pPr>
        <w:pStyle w:val="a4"/>
        <w:rPr>
          <w:rFonts w:ascii="標楷體" w:eastAsia="標楷體" w:hAnsi="標楷體"/>
        </w:rPr>
      </w:pPr>
      <w:r w:rsidRPr="000C2012">
        <w:rPr>
          <w:rStyle w:val="a6"/>
          <w:rFonts w:ascii="標楷體" w:eastAsia="標楷體" w:hAnsi="標楷體"/>
        </w:rPr>
        <w:footnoteRef/>
      </w:r>
      <w:r w:rsidRPr="000C2012">
        <w:rPr>
          <w:rFonts w:ascii="標楷體" w:eastAsia="標楷體" w:hAnsi="標楷體"/>
        </w:rPr>
        <w:t xml:space="preserve"> </w:t>
      </w:r>
      <w:r w:rsidR="00BA1F34">
        <w:rPr>
          <w:rFonts w:ascii="標楷體" w:eastAsia="標楷體" w:hAnsi="標楷體" w:hint="eastAsia"/>
        </w:rPr>
        <w:t>陳</w:t>
      </w:r>
      <w:proofErr w:type="gramStart"/>
      <w:r w:rsidR="00BA1F34">
        <w:rPr>
          <w:rFonts w:ascii="標楷體" w:eastAsia="標楷體" w:hAnsi="標楷體" w:hint="eastAsia"/>
        </w:rPr>
        <w:t>啟垂，</w:t>
      </w:r>
      <w:r w:rsidRPr="000C2012">
        <w:rPr>
          <w:rFonts w:ascii="標楷體" w:eastAsia="標楷體" w:hAnsi="標楷體" w:hint="eastAsia"/>
        </w:rPr>
        <w:t>同註</w:t>
      </w:r>
      <w:proofErr w:type="gramEnd"/>
      <w:r w:rsidRPr="000C2012">
        <w:rPr>
          <w:rFonts w:ascii="標楷體" w:eastAsia="標楷體" w:hAnsi="標楷體" w:hint="eastAsia"/>
        </w:rPr>
        <w:t>1。</w:t>
      </w:r>
    </w:p>
  </w:footnote>
  <w:footnote w:id="9">
    <w:p w14:paraId="03382997" w14:textId="77777777" w:rsidR="00B9266D" w:rsidRPr="00B01DE3" w:rsidRDefault="00B9266D" w:rsidP="000C2012">
      <w:pPr>
        <w:pStyle w:val="HTML"/>
        <w:shd w:val="clear" w:color="auto" w:fill="FFFFFF"/>
        <w:rPr>
          <w:rFonts w:ascii="標楷體" w:eastAsia="標楷體" w:hAnsi="標楷體"/>
          <w:color w:val="000000"/>
          <w:sz w:val="20"/>
          <w:szCs w:val="20"/>
        </w:rPr>
      </w:pPr>
      <w:r w:rsidRPr="000C2012">
        <w:rPr>
          <w:rStyle w:val="a6"/>
          <w:rFonts w:ascii="標楷體" w:eastAsia="標楷體" w:hAnsi="標楷體"/>
          <w:sz w:val="20"/>
          <w:szCs w:val="20"/>
        </w:rPr>
        <w:footnoteRef/>
      </w:r>
      <w:r w:rsidRPr="000C2012">
        <w:rPr>
          <w:rFonts w:ascii="標楷體" w:eastAsia="標楷體" w:hAnsi="標楷體"/>
          <w:sz w:val="20"/>
          <w:szCs w:val="20"/>
        </w:rPr>
        <w:t xml:space="preserve"> </w:t>
      </w:r>
      <w:r w:rsidRPr="000C2012">
        <w:rPr>
          <w:rFonts w:ascii="標楷體" w:eastAsia="標楷體" w:hAnsi="標楷體" w:hint="eastAsia"/>
          <w:sz w:val="20"/>
          <w:szCs w:val="20"/>
        </w:rPr>
        <w:t>民事訴訟法第249條第1項第2款：「</w:t>
      </w:r>
      <w:r w:rsidRPr="00B01DE3">
        <w:rPr>
          <w:rFonts w:ascii="標楷體" w:eastAsia="標楷體" w:hAnsi="標楷體" w:hint="eastAsia"/>
          <w:color w:val="000000"/>
          <w:sz w:val="20"/>
          <w:szCs w:val="20"/>
        </w:rPr>
        <w:t>原告之訴，有下列各款情形之一，法院應以裁定駁回之。但其情形可以補正者，審判長應定期間先命補正：七、起訴違背第三十一條之一第二項、第二百五十三條、第二百六十三條第二項之規定，或其訴訟標的為確定判決之效力</w:t>
      </w:r>
      <w:proofErr w:type="gramStart"/>
      <w:r w:rsidRPr="00B01DE3">
        <w:rPr>
          <w:rFonts w:ascii="標楷體" w:eastAsia="標楷體" w:hAnsi="標楷體" w:hint="eastAsia"/>
          <w:color w:val="000000"/>
          <w:sz w:val="20"/>
          <w:szCs w:val="20"/>
        </w:rPr>
        <w:t>所及者</w:t>
      </w:r>
      <w:proofErr w:type="gramEnd"/>
      <w:r w:rsidRPr="00B01DE3">
        <w:rPr>
          <w:rFonts w:ascii="標楷體" w:eastAsia="標楷體" w:hAnsi="標楷體" w:hint="eastAsia"/>
          <w:color w:val="000000"/>
          <w:sz w:val="20"/>
          <w:szCs w:val="20"/>
        </w:rPr>
        <w:t>。</w:t>
      </w:r>
      <w:r w:rsidRPr="00B01DE3">
        <w:rPr>
          <w:rFonts w:ascii="標楷體" w:eastAsia="標楷體" w:hAnsi="標楷體" w:hint="eastAsia"/>
          <w:sz w:val="20"/>
          <w:szCs w:val="20"/>
        </w:rPr>
        <w:t>」</w:t>
      </w:r>
    </w:p>
  </w:footnote>
  <w:footnote w:id="10">
    <w:p w14:paraId="1CA03789" w14:textId="77777777" w:rsidR="00B9266D" w:rsidRPr="003E1A92" w:rsidRDefault="00B9266D" w:rsidP="00864112">
      <w:pPr>
        <w:pStyle w:val="HTML"/>
        <w:shd w:val="clear" w:color="auto" w:fill="FFFFFF"/>
        <w:rPr>
          <w:rFonts w:ascii="標楷體" w:eastAsia="標楷體" w:hAnsi="標楷體"/>
          <w:color w:val="000000"/>
          <w:sz w:val="20"/>
          <w:szCs w:val="20"/>
        </w:rPr>
      </w:pPr>
      <w:r w:rsidRPr="003E1A92">
        <w:rPr>
          <w:rStyle w:val="a6"/>
          <w:rFonts w:ascii="標楷體" w:eastAsia="標楷體" w:hAnsi="標楷體"/>
          <w:sz w:val="20"/>
          <w:szCs w:val="20"/>
        </w:rPr>
        <w:footnoteRef/>
      </w:r>
      <w:r w:rsidRPr="003E1A92">
        <w:rPr>
          <w:rFonts w:ascii="標楷體" w:eastAsia="標楷體" w:hAnsi="標楷體"/>
          <w:sz w:val="20"/>
          <w:szCs w:val="20"/>
        </w:rPr>
        <w:t xml:space="preserve"> </w:t>
      </w:r>
      <w:r w:rsidRPr="003E1A92">
        <w:rPr>
          <w:rFonts w:ascii="標楷體" w:eastAsia="標楷體" w:hAnsi="標楷體" w:hint="eastAsia"/>
          <w:sz w:val="20"/>
          <w:szCs w:val="20"/>
        </w:rPr>
        <w:t>民事訴訟法第496條第1項：「</w:t>
      </w:r>
      <w:r w:rsidRPr="003E1A92">
        <w:rPr>
          <w:rFonts w:ascii="標楷體" w:eastAsia="標楷體" w:hAnsi="標楷體" w:hint="eastAsia"/>
          <w:color w:val="000000"/>
          <w:sz w:val="20"/>
          <w:szCs w:val="20"/>
        </w:rPr>
        <w:t>有下列各款情形之</w:t>
      </w:r>
      <w:proofErr w:type="gramStart"/>
      <w:r w:rsidRPr="003E1A92">
        <w:rPr>
          <w:rFonts w:ascii="標楷體" w:eastAsia="標楷體" w:hAnsi="標楷體" w:hint="eastAsia"/>
          <w:color w:val="000000"/>
          <w:sz w:val="20"/>
          <w:szCs w:val="20"/>
        </w:rPr>
        <w:t>一</w:t>
      </w:r>
      <w:proofErr w:type="gramEnd"/>
      <w:r w:rsidRPr="003E1A92">
        <w:rPr>
          <w:rFonts w:ascii="標楷體" w:eastAsia="標楷體" w:hAnsi="標楷體" w:hint="eastAsia"/>
          <w:color w:val="000000"/>
          <w:sz w:val="20"/>
          <w:szCs w:val="20"/>
        </w:rPr>
        <w:t>者，得以再審之訴對於確定終局判決聲明不服。但當事人已依上訴主張其事由或知其事由而不為主張者，不在此限：一、適用法規顯有錯誤者。</w:t>
      </w:r>
      <w:r w:rsidRPr="003E1A92">
        <w:rPr>
          <w:rFonts w:ascii="標楷體" w:eastAsia="標楷體" w:hAnsi="標楷體" w:hint="eastAsia"/>
          <w:sz w:val="20"/>
          <w:szCs w:val="20"/>
        </w:rPr>
        <w:t>」</w:t>
      </w:r>
    </w:p>
  </w:footnote>
  <w:footnote w:id="11">
    <w:p w14:paraId="497F46A8" w14:textId="77777777" w:rsidR="00B9266D" w:rsidRPr="003E1A92" w:rsidRDefault="00B9266D">
      <w:pPr>
        <w:pStyle w:val="a4"/>
        <w:rPr>
          <w:rFonts w:ascii="標楷體" w:eastAsia="標楷體" w:hAnsi="標楷體"/>
        </w:rPr>
      </w:pPr>
      <w:r w:rsidRPr="003E1A92">
        <w:rPr>
          <w:rStyle w:val="a6"/>
          <w:rFonts w:ascii="標楷體" w:eastAsia="標楷體" w:hAnsi="標楷體"/>
        </w:rPr>
        <w:footnoteRef/>
      </w:r>
      <w:r w:rsidRPr="003E1A92">
        <w:rPr>
          <w:rFonts w:ascii="標楷體" w:eastAsia="標楷體" w:hAnsi="標楷體"/>
        </w:rPr>
        <w:t xml:space="preserve"> </w:t>
      </w:r>
      <w:r w:rsidR="002E36AE">
        <w:rPr>
          <w:rFonts w:ascii="標楷體" w:eastAsia="標楷體" w:hAnsi="標楷體" w:hint="eastAsia"/>
        </w:rPr>
        <w:t>姜世明，</w:t>
      </w:r>
      <w:r w:rsidRPr="003E1A92">
        <w:rPr>
          <w:rFonts w:ascii="標楷體" w:eastAsia="標楷體" w:hAnsi="標楷體" w:hint="eastAsia"/>
        </w:rPr>
        <w:t>同註4，頁52。</w:t>
      </w:r>
    </w:p>
  </w:footnote>
  <w:footnote w:id="12">
    <w:p w14:paraId="32C67B3E" w14:textId="77777777" w:rsidR="00B9266D" w:rsidRPr="003E1A92" w:rsidRDefault="00B9266D">
      <w:pPr>
        <w:pStyle w:val="a4"/>
        <w:rPr>
          <w:rFonts w:ascii="標楷體" w:eastAsia="標楷體" w:hAnsi="標楷體"/>
        </w:rPr>
      </w:pPr>
      <w:r w:rsidRPr="003E1A92">
        <w:rPr>
          <w:rStyle w:val="a6"/>
          <w:rFonts w:ascii="標楷體" w:eastAsia="標楷體" w:hAnsi="標楷體"/>
        </w:rPr>
        <w:footnoteRef/>
      </w:r>
      <w:r w:rsidRPr="003E1A92">
        <w:rPr>
          <w:rFonts w:ascii="標楷體" w:eastAsia="標楷體" w:hAnsi="標楷體" w:hint="eastAsia"/>
        </w:rPr>
        <w:t xml:space="preserve"> 沈冠伶，論支付命令制度之修正，月旦裁判時報，2015年，37期，頁53。</w:t>
      </w:r>
    </w:p>
  </w:footnote>
  <w:footnote w:id="13">
    <w:p w14:paraId="0372B5B2" w14:textId="77777777" w:rsidR="00B9266D" w:rsidRPr="007A577D" w:rsidRDefault="00B9266D">
      <w:pPr>
        <w:pStyle w:val="a4"/>
        <w:rPr>
          <w:rFonts w:ascii="標楷體" w:eastAsia="標楷體" w:hAnsi="標楷體"/>
        </w:rPr>
      </w:pPr>
      <w:r w:rsidRPr="003E1A92">
        <w:rPr>
          <w:rStyle w:val="a6"/>
          <w:rFonts w:ascii="標楷體" w:eastAsia="標楷體" w:hAnsi="標楷體"/>
        </w:rPr>
        <w:footnoteRef/>
      </w:r>
      <w:r w:rsidRPr="003E1A92">
        <w:rPr>
          <w:rFonts w:ascii="標楷體" w:eastAsia="標楷體" w:hAnsi="標楷體"/>
        </w:rPr>
        <w:t xml:space="preserve"> </w:t>
      </w:r>
      <w:r w:rsidRPr="003E1A92">
        <w:rPr>
          <w:rFonts w:ascii="標楷體" w:eastAsia="標楷體" w:hAnsi="標楷體" w:hint="eastAsia"/>
        </w:rPr>
        <w:t>李孟珊，「支付命令」修法的荒謬，獨立雜誌，2015年。</w:t>
      </w:r>
    </w:p>
  </w:footnote>
  <w:footnote w:id="14">
    <w:p w14:paraId="62B11BAB" w14:textId="77777777" w:rsidR="00B9266D" w:rsidRPr="003E1A92" w:rsidRDefault="00B9266D" w:rsidP="003E1A92">
      <w:pPr>
        <w:pStyle w:val="HTML"/>
        <w:rPr>
          <w:rFonts w:ascii="標楷體" w:eastAsia="標楷體" w:hAnsi="標楷體"/>
          <w:sz w:val="20"/>
          <w:szCs w:val="20"/>
        </w:rPr>
      </w:pPr>
      <w:r>
        <w:rPr>
          <w:rStyle w:val="a6"/>
        </w:rPr>
        <w:footnoteRef/>
      </w:r>
      <w:r>
        <w:t xml:space="preserve"> </w:t>
      </w:r>
      <w:r w:rsidRPr="003E1A92">
        <w:rPr>
          <w:rFonts w:ascii="標楷體" w:eastAsia="標楷體" w:hAnsi="標楷體" w:hint="eastAsia"/>
          <w:sz w:val="20"/>
          <w:szCs w:val="20"/>
        </w:rPr>
        <w:t>民事訴訟施行法第4-4條：「</w:t>
      </w:r>
      <w:r w:rsidRPr="003E1A92">
        <w:rPr>
          <w:rFonts w:ascii="標楷體" w:eastAsia="標楷體" w:hAnsi="標楷體"/>
          <w:sz w:val="20"/>
          <w:szCs w:val="20"/>
        </w:rPr>
        <w:t>支付命令於民事訴訟法督促程序編依本施行法第十二條第六項公告施行後確定者，適用修正後之規定。支付命令於民事訴訟法督促程序編依本施行法第十二條第六項公告施行前確定者，債務人仍得依修正前民事訴訟法第五百二十一條第二項規定提起再審之訴。前項情形，債務人有債權人於督促程序所提出之證物係偽造或變造之情形，或債務人提出可受較有利益裁判之證物者，仍得向支付命令管轄法院提起再審之訴，並以原支付命令之聲請，視為起訴。前項再審之訴應於民事訴訟法督促程序編依本施行法第十二條第六項公告施行後二年內為之，不受民事訴訟法第五百條之限制。本施行法公告施行起至無行為能力人或限制行為能力人成年後二年內均得為之。前二項規定，債務人就已經清償之債務範圍，不適用之。</w:t>
      </w:r>
      <w:r w:rsidRPr="003E1A92">
        <w:rPr>
          <w:rFonts w:ascii="標楷體" w:eastAsia="標楷體" w:hAnsi="標楷體" w:hint="eastAsia"/>
          <w:sz w:val="20"/>
          <w:szCs w:val="20"/>
        </w:rPr>
        <w:t>」</w:t>
      </w:r>
    </w:p>
    <w:p w14:paraId="3F7F5D31" w14:textId="77777777" w:rsidR="00B9266D" w:rsidRPr="003E1A92" w:rsidRDefault="00B9266D">
      <w:pPr>
        <w:pStyle w:val="a4"/>
        <w:rPr>
          <w:rFonts w:ascii="標楷體" w:eastAsia="標楷體" w:hAnsi="標楷體"/>
        </w:rPr>
      </w:pPr>
    </w:p>
  </w:footnote>
  <w:footnote w:id="15">
    <w:p w14:paraId="1426F420" w14:textId="61F74925" w:rsidR="00B9266D" w:rsidRPr="005A1DC0" w:rsidRDefault="00B9266D">
      <w:pPr>
        <w:pStyle w:val="a4"/>
        <w:rPr>
          <w:rFonts w:ascii="標楷體" w:eastAsia="標楷體" w:hAnsi="標楷體"/>
        </w:rPr>
      </w:pPr>
      <w:r w:rsidRPr="005A1DC0">
        <w:rPr>
          <w:rStyle w:val="a6"/>
          <w:rFonts w:ascii="標楷體" w:eastAsia="標楷體" w:hAnsi="標楷體"/>
        </w:rPr>
        <w:footnoteRef/>
      </w:r>
      <w:r w:rsidRPr="005A1DC0">
        <w:rPr>
          <w:rFonts w:ascii="標楷體" w:eastAsia="標楷體" w:hAnsi="標楷體"/>
        </w:rPr>
        <w:t xml:space="preserve"> </w:t>
      </w:r>
      <w:r w:rsidRPr="005A1DC0">
        <w:rPr>
          <w:rFonts w:ascii="標楷體" w:eastAsia="標楷體" w:hAnsi="標楷體" w:hint="eastAsia"/>
        </w:rPr>
        <w:t>許士</w:t>
      </w:r>
      <w:proofErr w:type="gramStart"/>
      <w:r w:rsidRPr="005A1DC0">
        <w:rPr>
          <w:rFonts w:ascii="標楷體" w:eastAsia="標楷體" w:hAnsi="標楷體" w:hint="eastAsia"/>
        </w:rPr>
        <w:t>宦</w:t>
      </w:r>
      <w:proofErr w:type="gramEnd"/>
      <w:r w:rsidRPr="005A1DC0">
        <w:rPr>
          <w:rFonts w:ascii="標楷體" w:eastAsia="標楷體" w:hAnsi="標楷體" w:hint="eastAsia"/>
        </w:rPr>
        <w:t>，民事訴訟法研究會</w:t>
      </w:r>
      <w:r w:rsidR="002F03DF">
        <w:rPr>
          <w:rFonts w:ascii="標楷體" w:eastAsia="標楷體" w:hAnsi="標楷體" w:hint="eastAsia"/>
        </w:rPr>
        <w:t>第</w:t>
      </w:r>
      <w:r w:rsidRPr="005A1DC0">
        <w:rPr>
          <w:rFonts w:ascii="標楷體" w:eastAsia="標楷體" w:hAnsi="標楷體" w:hint="eastAsia"/>
        </w:rPr>
        <w:t>122次研討發言紀錄，法學叢刊，2014年，236期，頁241-242。</w:t>
      </w:r>
    </w:p>
  </w:footnote>
  <w:footnote w:id="16">
    <w:p w14:paraId="35702281" w14:textId="77777777" w:rsidR="00B9266D" w:rsidRPr="005A1DC0" w:rsidRDefault="00B9266D">
      <w:pPr>
        <w:pStyle w:val="a4"/>
        <w:rPr>
          <w:rFonts w:ascii="標楷體" w:eastAsia="標楷體" w:hAnsi="標楷體"/>
        </w:rPr>
      </w:pPr>
      <w:r w:rsidRPr="005A1DC0">
        <w:rPr>
          <w:rStyle w:val="a6"/>
          <w:rFonts w:ascii="標楷體" w:eastAsia="標楷體" w:hAnsi="標楷體"/>
        </w:rPr>
        <w:footnoteRef/>
      </w:r>
      <w:r w:rsidRPr="005A1DC0">
        <w:rPr>
          <w:rFonts w:ascii="標楷體" w:eastAsia="標楷體" w:hAnsi="標楷體"/>
        </w:rPr>
        <w:t xml:space="preserve"> </w:t>
      </w:r>
      <w:r w:rsidR="002E36AE">
        <w:rPr>
          <w:rFonts w:ascii="標楷體" w:eastAsia="標楷體" w:hAnsi="標楷體" w:hint="eastAsia"/>
        </w:rPr>
        <w:t>許士宦，</w:t>
      </w:r>
      <w:r w:rsidRPr="005A1DC0">
        <w:rPr>
          <w:rFonts w:ascii="標楷體" w:eastAsia="標楷體" w:hAnsi="標楷體" w:hint="eastAsia"/>
        </w:rPr>
        <w:t>同上註。</w:t>
      </w:r>
    </w:p>
  </w:footnote>
  <w:footnote w:id="17">
    <w:p w14:paraId="29E86F27" w14:textId="77777777" w:rsidR="00B9266D" w:rsidRPr="005A1DC0" w:rsidRDefault="00B9266D" w:rsidP="007E6932">
      <w:pPr>
        <w:pStyle w:val="a4"/>
        <w:rPr>
          <w:rFonts w:ascii="標楷體" w:eastAsia="標楷體" w:hAnsi="標楷體"/>
        </w:rPr>
      </w:pPr>
      <w:r w:rsidRPr="005A1DC0">
        <w:rPr>
          <w:rStyle w:val="a6"/>
          <w:rFonts w:ascii="標楷體" w:eastAsia="標楷體" w:hAnsi="標楷體"/>
        </w:rPr>
        <w:footnoteRef/>
      </w:r>
      <w:r w:rsidRPr="005A1DC0">
        <w:rPr>
          <w:rFonts w:ascii="標楷體" w:eastAsia="標楷體" w:hAnsi="標楷體"/>
        </w:rPr>
        <w:t xml:space="preserve"> </w:t>
      </w:r>
      <w:r w:rsidRPr="005A1DC0">
        <w:rPr>
          <w:rFonts w:ascii="標楷體" w:eastAsia="標楷體" w:hAnsi="標楷體" w:hint="eastAsia"/>
        </w:rPr>
        <w:t>吳從周，意氣用事的支付命令修法，月旦裁判時報，2015年，37期，頁35。</w:t>
      </w:r>
    </w:p>
  </w:footnote>
  <w:footnote w:id="18">
    <w:p w14:paraId="54FCFF29" w14:textId="77777777" w:rsidR="00B9266D" w:rsidRDefault="00B9266D">
      <w:pPr>
        <w:pStyle w:val="a4"/>
      </w:pPr>
      <w:r w:rsidRPr="005A1DC0">
        <w:rPr>
          <w:rStyle w:val="a6"/>
          <w:rFonts w:ascii="標楷體" w:eastAsia="標楷體" w:hAnsi="標楷體"/>
        </w:rPr>
        <w:footnoteRef/>
      </w:r>
      <w:r w:rsidRPr="005A1DC0">
        <w:rPr>
          <w:rFonts w:ascii="標楷體" w:eastAsia="標楷體" w:hAnsi="標楷體"/>
        </w:rPr>
        <w:t xml:space="preserve"> </w:t>
      </w:r>
      <w:r w:rsidRPr="005A1DC0">
        <w:rPr>
          <w:rFonts w:ascii="標楷體" w:eastAsia="標楷體" w:hAnsi="標楷體" w:hint="eastAsia"/>
        </w:rPr>
        <w:t>陳毓秀，支付命令修法將釀訴訟洪災，蘋果日報，2015年5月28日。</w:t>
      </w:r>
    </w:p>
  </w:footnote>
  <w:footnote w:id="19">
    <w:p w14:paraId="08D5B97D" w14:textId="77777777" w:rsidR="00B9266D" w:rsidRPr="00F27425" w:rsidRDefault="00B9266D">
      <w:pPr>
        <w:pStyle w:val="a4"/>
        <w:rPr>
          <w:rFonts w:ascii="標楷體" w:eastAsia="標楷體" w:hAnsi="標楷體"/>
        </w:rPr>
      </w:pPr>
      <w:r w:rsidRPr="00F27425">
        <w:rPr>
          <w:rStyle w:val="a6"/>
          <w:rFonts w:ascii="標楷體" w:eastAsia="標楷體" w:hAnsi="標楷體"/>
        </w:rPr>
        <w:footnoteRef/>
      </w:r>
      <w:r w:rsidRPr="00F27425">
        <w:rPr>
          <w:rFonts w:ascii="標楷體" w:eastAsia="標楷體" w:hAnsi="標楷體"/>
        </w:rPr>
        <w:t xml:space="preserve"> </w:t>
      </w:r>
      <w:r w:rsidR="002E36AE" w:rsidRPr="00F27425">
        <w:rPr>
          <w:rFonts w:ascii="標楷體" w:eastAsia="標楷體" w:hAnsi="標楷體" w:hint="eastAsia"/>
        </w:rPr>
        <w:t>吳從周，</w:t>
      </w:r>
      <w:r w:rsidRPr="00F27425">
        <w:rPr>
          <w:rFonts w:ascii="標楷體" w:eastAsia="標楷體" w:hAnsi="標楷體" w:hint="eastAsia"/>
        </w:rPr>
        <w:t>同註18。</w:t>
      </w:r>
    </w:p>
  </w:footnote>
  <w:footnote w:id="20">
    <w:p w14:paraId="0A39B1FA" w14:textId="51FFBF03" w:rsidR="0068451E" w:rsidRPr="00F27425" w:rsidRDefault="0068451E">
      <w:pPr>
        <w:pStyle w:val="a4"/>
        <w:rPr>
          <w:rFonts w:ascii="標楷體" w:eastAsia="標楷體" w:hAnsi="標楷體"/>
        </w:rPr>
      </w:pPr>
      <w:r w:rsidRPr="00F27425">
        <w:rPr>
          <w:rStyle w:val="a6"/>
          <w:rFonts w:ascii="標楷體" w:eastAsia="標楷體" w:hAnsi="標楷體"/>
        </w:rPr>
        <w:footnoteRef/>
      </w:r>
      <w:r w:rsidRPr="00F27425">
        <w:rPr>
          <w:rFonts w:ascii="標楷體" w:eastAsia="標楷體" w:hAnsi="標楷體"/>
        </w:rPr>
        <w:t xml:space="preserve"> </w:t>
      </w:r>
      <w:r w:rsidR="009E2E56">
        <w:rPr>
          <w:rFonts w:ascii="標楷體" w:eastAsia="標楷體" w:hAnsi="標楷體" w:hint="eastAsia"/>
        </w:rPr>
        <w:t>楊淑文，論督促程序中相對人之程序保障-以理性審查之充實為核心，民事訴訟法研究會122次研討紀錄，法學叢刊，236期，2014年10月。</w:t>
      </w:r>
    </w:p>
  </w:footnote>
  <w:footnote w:id="21">
    <w:p w14:paraId="2F8B2C9E" w14:textId="542D0835" w:rsidR="00312942" w:rsidRDefault="00312942">
      <w:pPr>
        <w:pStyle w:val="a4"/>
      </w:pPr>
      <w:r>
        <w:rPr>
          <w:rStyle w:val="a6"/>
        </w:rPr>
        <w:footnoteRef/>
      </w:r>
      <w:r>
        <w:t xml:space="preserve"> </w:t>
      </w:r>
      <w:r>
        <w:rPr>
          <w:rFonts w:ascii="標楷體" w:eastAsia="標楷體" w:hAnsi="標楷體" w:hint="eastAsia"/>
        </w:rPr>
        <w:t>參照財團法人民間司法改革基金</w:t>
      </w:r>
      <w:r w:rsidRPr="00F27425">
        <w:rPr>
          <w:rFonts w:ascii="標楷體" w:eastAsia="標楷體" w:hAnsi="標楷體"/>
        </w:rPr>
        <w:t>https://www.jrf.org.tw/newjrf/epaper/files/epaper20150512.html</w:t>
      </w:r>
    </w:p>
  </w:footnote>
  <w:footnote w:id="22">
    <w:p w14:paraId="1C27948D" w14:textId="77777777" w:rsidR="0068451E" w:rsidRPr="00F27425" w:rsidRDefault="0068451E">
      <w:pPr>
        <w:pStyle w:val="a4"/>
        <w:rPr>
          <w:rFonts w:ascii="標楷體" w:eastAsia="標楷體" w:hAnsi="標楷體"/>
        </w:rPr>
      </w:pPr>
      <w:r w:rsidRPr="00F27425">
        <w:rPr>
          <w:rStyle w:val="a6"/>
          <w:rFonts w:ascii="標楷體" w:eastAsia="標楷體" w:hAnsi="標楷體"/>
        </w:rPr>
        <w:footnoteRef/>
      </w:r>
      <w:r w:rsidRPr="00F27425">
        <w:rPr>
          <w:rFonts w:ascii="標楷體" w:eastAsia="標楷體" w:hAnsi="標楷體"/>
        </w:rPr>
        <w:t xml:space="preserve"> </w:t>
      </w:r>
      <w:r w:rsidRPr="00F27425">
        <w:rPr>
          <w:rFonts w:ascii="標楷體" w:eastAsia="標楷體" w:hAnsi="標楷體" w:hint="eastAsia"/>
        </w:rPr>
        <w:t>劉家榮，支付命令真的不改不行，自由時報，2015年5月31日。</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20B4"/>
    <w:multiLevelType w:val="hybridMultilevel"/>
    <w:tmpl w:val="7E668680"/>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B17ED9"/>
    <w:multiLevelType w:val="hybridMultilevel"/>
    <w:tmpl w:val="1DEAE790"/>
    <w:lvl w:ilvl="0" w:tplc="391AF0A2">
      <w:start w:val="6"/>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533E8D"/>
    <w:multiLevelType w:val="hybridMultilevel"/>
    <w:tmpl w:val="1E18F674"/>
    <w:lvl w:ilvl="0" w:tplc="04090015">
      <w:start w:val="1"/>
      <w:numFmt w:val="taiwaneseCountingThousand"/>
      <w:lvlText w:val="%1、"/>
      <w:lvlJc w:val="left"/>
      <w:pPr>
        <w:ind w:left="480" w:hanging="480"/>
      </w:pPr>
      <w:rPr>
        <w:rFonts w:ascii="新細明體" w:eastAsia="新細明體" w:hAnsi="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E1089D"/>
    <w:multiLevelType w:val="hybridMultilevel"/>
    <w:tmpl w:val="5E926EAA"/>
    <w:lvl w:ilvl="0" w:tplc="66F89CDC">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79649E"/>
    <w:multiLevelType w:val="hybridMultilevel"/>
    <w:tmpl w:val="A25E5A1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681251"/>
    <w:multiLevelType w:val="multilevel"/>
    <w:tmpl w:val="16BA60D4"/>
    <w:lvl w:ilvl="0">
      <w:start w:val="1"/>
      <w:numFmt w:val="decimal"/>
      <w:lvlText w:val="(%1)"/>
      <w:lvlJc w:val="left"/>
      <w:pPr>
        <w:ind w:left="360" w:hanging="360"/>
      </w:pPr>
      <w:rPr>
        <w:rFonts w:hint="default"/>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6">
    <w:nsid w:val="09A410B8"/>
    <w:multiLevelType w:val="hybridMultilevel"/>
    <w:tmpl w:val="C032B942"/>
    <w:lvl w:ilvl="0" w:tplc="A1B40C0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ACF68E7"/>
    <w:multiLevelType w:val="hybridMultilevel"/>
    <w:tmpl w:val="68341C82"/>
    <w:lvl w:ilvl="0" w:tplc="486CBB6E">
      <w:start w:val="2"/>
      <w:numFmt w:val="ideographLegalTraditional"/>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EFE405E"/>
    <w:multiLevelType w:val="hybridMultilevel"/>
    <w:tmpl w:val="A21A34EC"/>
    <w:lvl w:ilvl="0" w:tplc="DD98D208">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1F2758B2"/>
    <w:multiLevelType w:val="hybridMultilevel"/>
    <w:tmpl w:val="B8BA6E94"/>
    <w:lvl w:ilvl="0" w:tplc="B1B02D08">
      <w:start w:val="1"/>
      <w:numFmt w:val="ideographLegalTraditional"/>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20F62C38"/>
    <w:multiLevelType w:val="hybridMultilevel"/>
    <w:tmpl w:val="3A3C6E32"/>
    <w:lvl w:ilvl="0" w:tplc="8E4EE12E">
      <w:start w:val="3"/>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4E94757"/>
    <w:multiLevelType w:val="hybridMultilevel"/>
    <w:tmpl w:val="33942E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86A2DAC"/>
    <w:multiLevelType w:val="hybridMultilevel"/>
    <w:tmpl w:val="A68615C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EAF3CCD"/>
    <w:multiLevelType w:val="hybridMultilevel"/>
    <w:tmpl w:val="A03205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3823284"/>
    <w:multiLevelType w:val="hybridMultilevel"/>
    <w:tmpl w:val="6C44C43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C7D52CD"/>
    <w:multiLevelType w:val="hybridMultilevel"/>
    <w:tmpl w:val="D9ECF578"/>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3E6C7167"/>
    <w:multiLevelType w:val="hybridMultilevel"/>
    <w:tmpl w:val="1B12C89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E933F72"/>
    <w:multiLevelType w:val="hybridMultilevel"/>
    <w:tmpl w:val="06E842B8"/>
    <w:lvl w:ilvl="0" w:tplc="EABCEB4E">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1A50A8E"/>
    <w:multiLevelType w:val="hybridMultilevel"/>
    <w:tmpl w:val="D8163EBA"/>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7235FEF"/>
    <w:multiLevelType w:val="hybridMultilevel"/>
    <w:tmpl w:val="EFE8513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85070C3"/>
    <w:multiLevelType w:val="hybridMultilevel"/>
    <w:tmpl w:val="25988216"/>
    <w:lvl w:ilvl="0" w:tplc="26CCDEA6">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9DB2458"/>
    <w:multiLevelType w:val="hybridMultilevel"/>
    <w:tmpl w:val="37F663C2"/>
    <w:lvl w:ilvl="0" w:tplc="71FA1CC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4A474857"/>
    <w:multiLevelType w:val="hybridMultilevel"/>
    <w:tmpl w:val="8A205454"/>
    <w:lvl w:ilvl="0" w:tplc="8A185C72">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FED6C24"/>
    <w:multiLevelType w:val="hybridMultilevel"/>
    <w:tmpl w:val="D8245AC2"/>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50D53FA0"/>
    <w:multiLevelType w:val="hybridMultilevel"/>
    <w:tmpl w:val="7E668680"/>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1487377"/>
    <w:multiLevelType w:val="hybridMultilevel"/>
    <w:tmpl w:val="F55EBC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645A35"/>
    <w:multiLevelType w:val="hybridMultilevel"/>
    <w:tmpl w:val="E24E4A0C"/>
    <w:lvl w:ilvl="0" w:tplc="A1B40C06">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4202949"/>
    <w:multiLevelType w:val="hybridMultilevel"/>
    <w:tmpl w:val="E19842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6E54A17"/>
    <w:multiLevelType w:val="hybridMultilevel"/>
    <w:tmpl w:val="23F4AF0A"/>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5DCF0FA5"/>
    <w:multiLevelType w:val="hybridMultilevel"/>
    <w:tmpl w:val="F4367AE4"/>
    <w:lvl w:ilvl="0" w:tplc="04090015">
      <w:start w:val="1"/>
      <w:numFmt w:val="taiwaneseCountingThousand"/>
      <w:lvlText w:val="%1、"/>
      <w:lvlJc w:val="left"/>
      <w:pPr>
        <w:ind w:left="480" w:hanging="480"/>
      </w:pPr>
      <w:rPr>
        <w:rFonts w:ascii="新細明體" w:eastAsia="新細明體" w:hAnsi="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E966AC2"/>
    <w:multiLevelType w:val="hybridMultilevel"/>
    <w:tmpl w:val="2BAE2E1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A3C9D"/>
    <w:multiLevelType w:val="hybridMultilevel"/>
    <w:tmpl w:val="ADEA682A"/>
    <w:lvl w:ilvl="0" w:tplc="6DF6071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4637562"/>
    <w:multiLevelType w:val="hybridMultilevel"/>
    <w:tmpl w:val="A3A2020C"/>
    <w:lvl w:ilvl="0" w:tplc="04090015">
      <w:start w:val="1"/>
      <w:numFmt w:val="taiwaneseCountingThousand"/>
      <w:lvlText w:val="%1、"/>
      <w:lvlJc w:val="left"/>
      <w:pPr>
        <w:ind w:left="480" w:hanging="480"/>
      </w:pPr>
      <w:rPr>
        <w:rFonts w:ascii="新細明體" w:eastAsia="新細明體" w:hAnsi="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ECD7460"/>
    <w:multiLevelType w:val="hybridMultilevel"/>
    <w:tmpl w:val="03A29FE6"/>
    <w:lvl w:ilvl="0" w:tplc="04090017">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01517E5"/>
    <w:multiLevelType w:val="hybridMultilevel"/>
    <w:tmpl w:val="03A29FE6"/>
    <w:lvl w:ilvl="0" w:tplc="04090017">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0386DF6"/>
    <w:multiLevelType w:val="hybridMultilevel"/>
    <w:tmpl w:val="96A26D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18C576B"/>
    <w:multiLevelType w:val="hybridMultilevel"/>
    <w:tmpl w:val="06E842B8"/>
    <w:lvl w:ilvl="0" w:tplc="EABCEB4E">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1A51CE8"/>
    <w:multiLevelType w:val="hybridMultilevel"/>
    <w:tmpl w:val="6F36EDA4"/>
    <w:lvl w:ilvl="0" w:tplc="9BAA3EA4">
      <w:start w:val="1"/>
      <w:numFmt w:val="none"/>
      <w:lvlText w:val="(1)%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73F4276F"/>
    <w:multiLevelType w:val="hybridMultilevel"/>
    <w:tmpl w:val="17A6BA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7217405"/>
    <w:multiLevelType w:val="hybridMultilevel"/>
    <w:tmpl w:val="47C22E0E"/>
    <w:lvl w:ilvl="0" w:tplc="5A525276">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7C337FA"/>
    <w:multiLevelType w:val="hybridMultilevel"/>
    <w:tmpl w:val="40FEE34E"/>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79A04404"/>
    <w:multiLevelType w:val="hybridMultilevel"/>
    <w:tmpl w:val="1980B6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CBB765E"/>
    <w:multiLevelType w:val="hybridMultilevel"/>
    <w:tmpl w:val="17DE2504"/>
    <w:lvl w:ilvl="0" w:tplc="84F08AD8">
      <w:start w:val="1"/>
      <w:numFmt w:val="taiwaneseCountingThousand"/>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7E817568"/>
    <w:multiLevelType w:val="hybridMultilevel"/>
    <w:tmpl w:val="8A5EC9EC"/>
    <w:lvl w:ilvl="0" w:tplc="04090017">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EA96A6C"/>
    <w:multiLevelType w:val="hybridMultilevel"/>
    <w:tmpl w:val="699AD096"/>
    <w:lvl w:ilvl="0" w:tplc="04090015">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1"/>
  </w:num>
  <w:num w:numId="2">
    <w:abstractNumId w:val="22"/>
  </w:num>
  <w:num w:numId="3">
    <w:abstractNumId w:val="13"/>
  </w:num>
  <w:num w:numId="4">
    <w:abstractNumId w:val="24"/>
  </w:num>
  <w:num w:numId="5">
    <w:abstractNumId w:val="0"/>
  </w:num>
  <w:num w:numId="6">
    <w:abstractNumId w:val="33"/>
  </w:num>
  <w:num w:numId="7">
    <w:abstractNumId w:val="28"/>
  </w:num>
  <w:num w:numId="8">
    <w:abstractNumId w:val="30"/>
  </w:num>
  <w:num w:numId="9">
    <w:abstractNumId w:val="37"/>
  </w:num>
  <w:num w:numId="10">
    <w:abstractNumId w:val="14"/>
  </w:num>
  <w:num w:numId="11">
    <w:abstractNumId w:val="4"/>
  </w:num>
  <w:num w:numId="12">
    <w:abstractNumId w:val="17"/>
  </w:num>
  <w:num w:numId="13">
    <w:abstractNumId w:val="35"/>
  </w:num>
  <w:num w:numId="14">
    <w:abstractNumId w:val="11"/>
  </w:num>
  <w:num w:numId="15">
    <w:abstractNumId w:val="19"/>
  </w:num>
  <w:num w:numId="16">
    <w:abstractNumId w:val="29"/>
  </w:num>
  <w:num w:numId="17">
    <w:abstractNumId w:val="42"/>
  </w:num>
  <w:num w:numId="18">
    <w:abstractNumId w:val="15"/>
  </w:num>
  <w:num w:numId="19">
    <w:abstractNumId w:val="31"/>
  </w:num>
  <w:num w:numId="20">
    <w:abstractNumId w:val="20"/>
  </w:num>
  <w:num w:numId="21">
    <w:abstractNumId w:val="2"/>
  </w:num>
  <w:num w:numId="22">
    <w:abstractNumId w:val="7"/>
  </w:num>
  <w:num w:numId="23">
    <w:abstractNumId w:val="27"/>
  </w:num>
  <w:num w:numId="24">
    <w:abstractNumId w:val="38"/>
  </w:num>
  <w:num w:numId="25">
    <w:abstractNumId w:val="16"/>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39"/>
  </w:num>
  <w:num w:numId="29">
    <w:abstractNumId w:val="18"/>
  </w:num>
  <w:num w:numId="30">
    <w:abstractNumId w:val="32"/>
  </w:num>
  <w:num w:numId="31">
    <w:abstractNumId w:val="44"/>
  </w:num>
  <w:num w:numId="32">
    <w:abstractNumId w:val="6"/>
  </w:num>
  <w:num w:numId="33">
    <w:abstractNumId w:val="26"/>
  </w:num>
  <w:num w:numId="34">
    <w:abstractNumId w:val="9"/>
  </w:num>
  <w:num w:numId="35">
    <w:abstractNumId w:val="8"/>
  </w:num>
  <w:num w:numId="36">
    <w:abstractNumId w:val="21"/>
  </w:num>
  <w:num w:numId="37">
    <w:abstractNumId w:val="5"/>
  </w:num>
  <w:num w:numId="38">
    <w:abstractNumId w:val="23"/>
  </w:num>
  <w:num w:numId="39">
    <w:abstractNumId w:val="43"/>
  </w:num>
  <w:num w:numId="40">
    <w:abstractNumId w:val="1"/>
  </w:num>
  <w:num w:numId="41">
    <w:abstractNumId w:val="36"/>
  </w:num>
  <w:num w:numId="42">
    <w:abstractNumId w:val="10"/>
  </w:num>
  <w:num w:numId="43">
    <w:abstractNumId w:val="40"/>
  </w:num>
  <w:num w:numId="44">
    <w:abstractNumId w:val="12"/>
  </w:num>
  <w:num w:numId="45">
    <w:abstractNumId w:val="34"/>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BB"/>
    <w:rsid w:val="00002657"/>
    <w:rsid w:val="00012A10"/>
    <w:rsid w:val="00017E91"/>
    <w:rsid w:val="000300ED"/>
    <w:rsid w:val="00042244"/>
    <w:rsid w:val="00044678"/>
    <w:rsid w:val="0004679B"/>
    <w:rsid w:val="000712F5"/>
    <w:rsid w:val="00092D34"/>
    <w:rsid w:val="000A39DC"/>
    <w:rsid w:val="000C045E"/>
    <w:rsid w:val="000C2012"/>
    <w:rsid w:val="000C6F59"/>
    <w:rsid w:val="000C7A10"/>
    <w:rsid w:val="000E0F46"/>
    <w:rsid w:val="000E40DA"/>
    <w:rsid w:val="000F2FC0"/>
    <w:rsid w:val="001132F3"/>
    <w:rsid w:val="0011617B"/>
    <w:rsid w:val="00120BF4"/>
    <w:rsid w:val="001248FC"/>
    <w:rsid w:val="00126CCF"/>
    <w:rsid w:val="0013140D"/>
    <w:rsid w:val="00134E90"/>
    <w:rsid w:val="00147D13"/>
    <w:rsid w:val="001716CB"/>
    <w:rsid w:val="00175B74"/>
    <w:rsid w:val="001810E5"/>
    <w:rsid w:val="00195F60"/>
    <w:rsid w:val="001A0DF3"/>
    <w:rsid w:val="001A7054"/>
    <w:rsid w:val="001B0F8D"/>
    <w:rsid w:val="001B63A6"/>
    <w:rsid w:val="001E7339"/>
    <w:rsid w:val="00220448"/>
    <w:rsid w:val="00230B52"/>
    <w:rsid w:val="00232FBE"/>
    <w:rsid w:val="00241C0D"/>
    <w:rsid w:val="0025130F"/>
    <w:rsid w:val="00257AC4"/>
    <w:rsid w:val="002A4552"/>
    <w:rsid w:val="002B617E"/>
    <w:rsid w:val="002C37EC"/>
    <w:rsid w:val="002D6791"/>
    <w:rsid w:val="002E36AE"/>
    <w:rsid w:val="002E4A43"/>
    <w:rsid w:val="002E7247"/>
    <w:rsid w:val="002F03DF"/>
    <w:rsid w:val="002F1727"/>
    <w:rsid w:val="00312942"/>
    <w:rsid w:val="00313D8E"/>
    <w:rsid w:val="00342382"/>
    <w:rsid w:val="00344819"/>
    <w:rsid w:val="00364828"/>
    <w:rsid w:val="00386756"/>
    <w:rsid w:val="003D349A"/>
    <w:rsid w:val="003E00BB"/>
    <w:rsid w:val="003E1A92"/>
    <w:rsid w:val="0041206E"/>
    <w:rsid w:val="004235A1"/>
    <w:rsid w:val="00430586"/>
    <w:rsid w:val="0043367C"/>
    <w:rsid w:val="0044032D"/>
    <w:rsid w:val="00470102"/>
    <w:rsid w:val="004731B5"/>
    <w:rsid w:val="00473DD4"/>
    <w:rsid w:val="004805FA"/>
    <w:rsid w:val="00482DF6"/>
    <w:rsid w:val="004927BF"/>
    <w:rsid w:val="004A7E7E"/>
    <w:rsid w:val="004B35BD"/>
    <w:rsid w:val="004E5960"/>
    <w:rsid w:val="004E6778"/>
    <w:rsid w:val="004F624F"/>
    <w:rsid w:val="00500BD0"/>
    <w:rsid w:val="005571F0"/>
    <w:rsid w:val="005577F7"/>
    <w:rsid w:val="005772D9"/>
    <w:rsid w:val="00597DD6"/>
    <w:rsid w:val="005A1DC0"/>
    <w:rsid w:val="005A372A"/>
    <w:rsid w:val="005A4C76"/>
    <w:rsid w:val="005B4C78"/>
    <w:rsid w:val="005C39CB"/>
    <w:rsid w:val="005D5E62"/>
    <w:rsid w:val="005D6449"/>
    <w:rsid w:val="005F22B7"/>
    <w:rsid w:val="005F2EC9"/>
    <w:rsid w:val="00611E9C"/>
    <w:rsid w:val="006140A0"/>
    <w:rsid w:val="00622C00"/>
    <w:rsid w:val="006434AB"/>
    <w:rsid w:val="006620F1"/>
    <w:rsid w:val="00664ED3"/>
    <w:rsid w:val="0067474E"/>
    <w:rsid w:val="00682557"/>
    <w:rsid w:val="0068451E"/>
    <w:rsid w:val="006865C2"/>
    <w:rsid w:val="00697230"/>
    <w:rsid w:val="006A299E"/>
    <w:rsid w:val="006A5DC5"/>
    <w:rsid w:val="006A61BB"/>
    <w:rsid w:val="006B165B"/>
    <w:rsid w:val="006C3136"/>
    <w:rsid w:val="006C6AA0"/>
    <w:rsid w:val="006D50D0"/>
    <w:rsid w:val="006F2ED0"/>
    <w:rsid w:val="006F709B"/>
    <w:rsid w:val="007165A6"/>
    <w:rsid w:val="00763BDC"/>
    <w:rsid w:val="00766F03"/>
    <w:rsid w:val="007711C9"/>
    <w:rsid w:val="00777AF7"/>
    <w:rsid w:val="00782345"/>
    <w:rsid w:val="00786C76"/>
    <w:rsid w:val="00792D50"/>
    <w:rsid w:val="007A492C"/>
    <w:rsid w:val="007A4DCC"/>
    <w:rsid w:val="007A577D"/>
    <w:rsid w:val="007B65AA"/>
    <w:rsid w:val="007E6932"/>
    <w:rsid w:val="00804377"/>
    <w:rsid w:val="0083008F"/>
    <w:rsid w:val="00830794"/>
    <w:rsid w:val="0083261F"/>
    <w:rsid w:val="00855A74"/>
    <w:rsid w:val="00864112"/>
    <w:rsid w:val="00872587"/>
    <w:rsid w:val="00877A69"/>
    <w:rsid w:val="008843C4"/>
    <w:rsid w:val="008857F4"/>
    <w:rsid w:val="008936A8"/>
    <w:rsid w:val="008D1301"/>
    <w:rsid w:val="008D61B2"/>
    <w:rsid w:val="008D6895"/>
    <w:rsid w:val="008E4635"/>
    <w:rsid w:val="0090335C"/>
    <w:rsid w:val="00910E5A"/>
    <w:rsid w:val="009212A4"/>
    <w:rsid w:val="009818E5"/>
    <w:rsid w:val="0098518D"/>
    <w:rsid w:val="009A3C01"/>
    <w:rsid w:val="009C055B"/>
    <w:rsid w:val="009E2E56"/>
    <w:rsid w:val="009E38ED"/>
    <w:rsid w:val="00A23CFA"/>
    <w:rsid w:val="00A37817"/>
    <w:rsid w:val="00A81F6C"/>
    <w:rsid w:val="00A82E83"/>
    <w:rsid w:val="00AA4E66"/>
    <w:rsid w:val="00AB54F5"/>
    <w:rsid w:val="00AD5F59"/>
    <w:rsid w:val="00B01DE3"/>
    <w:rsid w:val="00B023A5"/>
    <w:rsid w:val="00B174CA"/>
    <w:rsid w:val="00B35E6C"/>
    <w:rsid w:val="00B51685"/>
    <w:rsid w:val="00B7773D"/>
    <w:rsid w:val="00B80588"/>
    <w:rsid w:val="00B9266D"/>
    <w:rsid w:val="00BA1F34"/>
    <w:rsid w:val="00BB4F2F"/>
    <w:rsid w:val="00BB4F62"/>
    <w:rsid w:val="00BB69E0"/>
    <w:rsid w:val="00BC2EEE"/>
    <w:rsid w:val="00BD343C"/>
    <w:rsid w:val="00BF1E3D"/>
    <w:rsid w:val="00BF4B11"/>
    <w:rsid w:val="00C01C80"/>
    <w:rsid w:val="00C26D3F"/>
    <w:rsid w:val="00C27D17"/>
    <w:rsid w:val="00C42B2A"/>
    <w:rsid w:val="00C44790"/>
    <w:rsid w:val="00C53940"/>
    <w:rsid w:val="00C67AF9"/>
    <w:rsid w:val="00C86F9B"/>
    <w:rsid w:val="00CA5D8B"/>
    <w:rsid w:val="00CF52EB"/>
    <w:rsid w:val="00D01DBB"/>
    <w:rsid w:val="00D10A91"/>
    <w:rsid w:val="00D15092"/>
    <w:rsid w:val="00D24B1C"/>
    <w:rsid w:val="00D26E5B"/>
    <w:rsid w:val="00D42A60"/>
    <w:rsid w:val="00D66BF1"/>
    <w:rsid w:val="00DA7214"/>
    <w:rsid w:val="00DB7B32"/>
    <w:rsid w:val="00DC14E6"/>
    <w:rsid w:val="00DE40F1"/>
    <w:rsid w:val="00DF7020"/>
    <w:rsid w:val="00E335DB"/>
    <w:rsid w:val="00E40173"/>
    <w:rsid w:val="00E61D47"/>
    <w:rsid w:val="00E63557"/>
    <w:rsid w:val="00E6665D"/>
    <w:rsid w:val="00E7021C"/>
    <w:rsid w:val="00E8565C"/>
    <w:rsid w:val="00EB0ADF"/>
    <w:rsid w:val="00EC1189"/>
    <w:rsid w:val="00EC52FC"/>
    <w:rsid w:val="00ED0ED1"/>
    <w:rsid w:val="00EE31F5"/>
    <w:rsid w:val="00EE7115"/>
    <w:rsid w:val="00F02FE8"/>
    <w:rsid w:val="00F27425"/>
    <w:rsid w:val="00F44A8A"/>
    <w:rsid w:val="00F52540"/>
    <w:rsid w:val="00F728B8"/>
    <w:rsid w:val="00F90A03"/>
    <w:rsid w:val="00F95F7E"/>
    <w:rsid w:val="00FA1EB8"/>
    <w:rsid w:val="00FA2F61"/>
    <w:rsid w:val="00FC54FB"/>
    <w:rsid w:val="00FD1A54"/>
    <w:rsid w:val="00FE182B"/>
    <w:rsid w:val="00FE4D69"/>
    <w:rsid w:val="00FF63D6"/>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B0D3"/>
  <w15:chartTrackingRefBased/>
  <w15:docId w15:val="{FE6999FA-25E2-471F-9345-0FCD30B5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4E6"/>
    <w:pPr>
      <w:ind w:leftChars="200" w:left="480"/>
    </w:pPr>
  </w:style>
  <w:style w:type="paragraph" w:styleId="a4">
    <w:name w:val="footnote text"/>
    <w:basedOn w:val="a"/>
    <w:link w:val="a5"/>
    <w:uiPriority w:val="99"/>
    <w:semiHidden/>
    <w:unhideWhenUsed/>
    <w:rsid w:val="00B35E6C"/>
    <w:pPr>
      <w:snapToGrid w:val="0"/>
    </w:pPr>
    <w:rPr>
      <w:sz w:val="20"/>
      <w:szCs w:val="20"/>
    </w:rPr>
  </w:style>
  <w:style w:type="character" w:customStyle="1" w:styleId="a5">
    <w:name w:val="註腳文字 字元"/>
    <w:basedOn w:val="a0"/>
    <w:link w:val="a4"/>
    <w:uiPriority w:val="99"/>
    <w:semiHidden/>
    <w:rsid w:val="00B35E6C"/>
    <w:rPr>
      <w:sz w:val="20"/>
      <w:szCs w:val="20"/>
    </w:rPr>
  </w:style>
  <w:style w:type="character" w:styleId="a6">
    <w:name w:val="footnote reference"/>
    <w:basedOn w:val="a0"/>
    <w:uiPriority w:val="99"/>
    <w:semiHidden/>
    <w:unhideWhenUsed/>
    <w:rsid w:val="00B35E6C"/>
    <w:rPr>
      <w:vertAlign w:val="superscript"/>
    </w:rPr>
  </w:style>
  <w:style w:type="paragraph" w:styleId="HTML">
    <w:name w:val="HTML Preformatted"/>
    <w:basedOn w:val="a"/>
    <w:link w:val="HTML0"/>
    <w:uiPriority w:val="99"/>
    <w:unhideWhenUsed/>
    <w:rsid w:val="00EE7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EE7115"/>
    <w:rPr>
      <w:rFonts w:ascii="細明體" w:eastAsia="細明體" w:hAnsi="細明體" w:cs="細明體"/>
      <w:kern w:val="0"/>
      <w:szCs w:val="24"/>
    </w:rPr>
  </w:style>
  <w:style w:type="paragraph" w:styleId="a7">
    <w:name w:val="header"/>
    <w:basedOn w:val="a"/>
    <w:link w:val="a8"/>
    <w:uiPriority w:val="99"/>
    <w:unhideWhenUsed/>
    <w:rsid w:val="00B7773D"/>
    <w:pPr>
      <w:tabs>
        <w:tab w:val="center" w:pos="4153"/>
        <w:tab w:val="right" w:pos="8306"/>
      </w:tabs>
      <w:snapToGrid w:val="0"/>
    </w:pPr>
    <w:rPr>
      <w:sz w:val="20"/>
      <w:szCs w:val="20"/>
    </w:rPr>
  </w:style>
  <w:style w:type="character" w:customStyle="1" w:styleId="a8">
    <w:name w:val="頁首 字元"/>
    <w:basedOn w:val="a0"/>
    <w:link w:val="a7"/>
    <w:uiPriority w:val="99"/>
    <w:rsid w:val="00B7773D"/>
    <w:rPr>
      <w:sz w:val="20"/>
      <w:szCs w:val="20"/>
    </w:rPr>
  </w:style>
  <w:style w:type="paragraph" w:styleId="a9">
    <w:name w:val="footer"/>
    <w:basedOn w:val="a"/>
    <w:link w:val="aa"/>
    <w:uiPriority w:val="99"/>
    <w:unhideWhenUsed/>
    <w:rsid w:val="00B7773D"/>
    <w:pPr>
      <w:tabs>
        <w:tab w:val="center" w:pos="4153"/>
        <w:tab w:val="right" w:pos="8306"/>
      </w:tabs>
      <w:snapToGrid w:val="0"/>
    </w:pPr>
    <w:rPr>
      <w:sz w:val="20"/>
      <w:szCs w:val="20"/>
    </w:rPr>
  </w:style>
  <w:style w:type="character" w:customStyle="1" w:styleId="aa">
    <w:name w:val="頁尾 字元"/>
    <w:basedOn w:val="a0"/>
    <w:link w:val="a9"/>
    <w:uiPriority w:val="99"/>
    <w:rsid w:val="00B7773D"/>
    <w:rPr>
      <w:sz w:val="20"/>
      <w:szCs w:val="20"/>
    </w:rPr>
  </w:style>
  <w:style w:type="character" w:styleId="ab">
    <w:name w:val="Hyperlink"/>
    <w:basedOn w:val="a0"/>
    <w:uiPriority w:val="99"/>
    <w:unhideWhenUsed/>
    <w:rsid w:val="0083261F"/>
    <w:rPr>
      <w:color w:val="0000FF"/>
      <w:u w:val="single"/>
    </w:rPr>
  </w:style>
  <w:style w:type="character" w:styleId="ac">
    <w:name w:val="Placeholder Text"/>
    <w:basedOn w:val="a0"/>
    <w:uiPriority w:val="99"/>
    <w:semiHidden/>
    <w:rsid w:val="000C2012"/>
    <w:rPr>
      <w:color w:val="808080"/>
    </w:rPr>
  </w:style>
  <w:style w:type="character" w:styleId="ad">
    <w:name w:val="Strong"/>
    <w:basedOn w:val="a0"/>
    <w:uiPriority w:val="22"/>
    <w:qFormat/>
    <w:rsid w:val="007A577D"/>
    <w:rPr>
      <w:b/>
      <w:bCs/>
    </w:rPr>
  </w:style>
  <w:style w:type="paragraph" w:styleId="ae">
    <w:name w:val="Balloon Text"/>
    <w:basedOn w:val="a"/>
    <w:link w:val="af"/>
    <w:uiPriority w:val="99"/>
    <w:semiHidden/>
    <w:unhideWhenUsed/>
    <w:rsid w:val="000E0F46"/>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0E0F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26">
      <w:bodyDiv w:val="1"/>
      <w:marLeft w:val="0"/>
      <w:marRight w:val="0"/>
      <w:marTop w:val="0"/>
      <w:marBottom w:val="0"/>
      <w:divBdr>
        <w:top w:val="none" w:sz="0" w:space="0" w:color="auto"/>
        <w:left w:val="none" w:sz="0" w:space="0" w:color="auto"/>
        <w:bottom w:val="none" w:sz="0" w:space="0" w:color="auto"/>
        <w:right w:val="none" w:sz="0" w:space="0" w:color="auto"/>
      </w:divBdr>
    </w:div>
    <w:div w:id="330178156">
      <w:bodyDiv w:val="1"/>
      <w:marLeft w:val="0"/>
      <w:marRight w:val="0"/>
      <w:marTop w:val="0"/>
      <w:marBottom w:val="0"/>
      <w:divBdr>
        <w:top w:val="none" w:sz="0" w:space="0" w:color="auto"/>
        <w:left w:val="none" w:sz="0" w:space="0" w:color="auto"/>
        <w:bottom w:val="none" w:sz="0" w:space="0" w:color="auto"/>
        <w:right w:val="none" w:sz="0" w:space="0" w:color="auto"/>
      </w:divBdr>
    </w:div>
    <w:div w:id="363530474">
      <w:bodyDiv w:val="1"/>
      <w:marLeft w:val="0"/>
      <w:marRight w:val="0"/>
      <w:marTop w:val="0"/>
      <w:marBottom w:val="0"/>
      <w:divBdr>
        <w:top w:val="none" w:sz="0" w:space="0" w:color="auto"/>
        <w:left w:val="none" w:sz="0" w:space="0" w:color="auto"/>
        <w:bottom w:val="none" w:sz="0" w:space="0" w:color="auto"/>
        <w:right w:val="none" w:sz="0" w:space="0" w:color="auto"/>
      </w:divBdr>
    </w:div>
    <w:div w:id="479808625">
      <w:bodyDiv w:val="1"/>
      <w:marLeft w:val="0"/>
      <w:marRight w:val="0"/>
      <w:marTop w:val="0"/>
      <w:marBottom w:val="0"/>
      <w:divBdr>
        <w:top w:val="none" w:sz="0" w:space="0" w:color="auto"/>
        <w:left w:val="none" w:sz="0" w:space="0" w:color="auto"/>
        <w:bottom w:val="none" w:sz="0" w:space="0" w:color="auto"/>
        <w:right w:val="none" w:sz="0" w:space="0" w:color="auto"/>
      </w:divBdr>
    </w:div>
    <w:div w:id="674765699">
      <w:bodyDiv w:val="1"/>
      <w:marLeft w:val="0"/>
      <w:marRight w:val="0"/>
      <w:marTop w:val="0"/>
      <w:marBottom w:val="0"/>
      <w:divBdr>
        <w:top w:val="none" w:sz="0" w:space="0" w:color="auto"/>
        <w:left w:val="none" w:sz="0" w:space="0" w:color="auto"/>
        <w:bottom w:val="none" w:sz="0" w:space="0" w:color="auto"/>
        <w:right w:val="none" w:sz="0" w:space="0" w:color="auto"/>
      </w:divBdr>
    </w:div>
    <w:div w:id="718284183">
      <w:bodyDiv w:val="1"/>
      <w:marLeft w:val="0"/>
      <w:marRight w:val="0"/>
      <w:marTop w:val="0"/>
      <w:marBottom w:val="0"/>
      <w:divBdr>
        <w:top w:val="none" w:sz="0" w:space="0" w:color="auto"/>
        <w:left w:val="none" w:sz="0" w:space="0" w:color="auto"/>
        <w:bottom w:val="none" w:sz="0" w:space="0" w:color="auto"/>
        <w:right w:val="none" w:sz="0" w:space="0" w:color="auto"/>
      </w:divBdr>
    </w:div>
    <w:div w:id="722220058">
      <w:bodyDiv w:val="1"/>
      <w:marLeft w:val="0"/>
      <w:marRight w:val="0"/>
      <w:marTop w:val="0"/>
      <w:marBottom w:val="0"/>
      <w:divBdr>
        <w:top w:val="none" w:sz="0" w:space="0" w:color="auto"/>
        <w:left w:val="none" w:sz="0" w:space="0" w:color="auto"/>
        <w:bottom w:val="none" w:sz="0" w:space="0" w:color="auto"/>
        <w:right w:val="none" w:sz="0" w:space="0" w:color="auto"/>
      </w:divBdr>
    </w:div>
    <w:div w:id="728964281">
      <w:bodyDiv w:val="1"/>
      <w:marLeft w:val="0"/>
      <w:marRight w:val="0"/>
      <w:marTop w:val="0"/>
      <w:marBottom w:val="0"/>
      <w:divBdr>
        <w:top w:val="none" w:sz="0" w:space="0" w:color="auto"/>
        <w:left w:val="none" w:sz="0" w:space="0" w:color="auto"/>
        <w:bottom w:val="none" w:sz="0" w:space="0" w:color="auto"/>
        <w:right w:val="none" w:sz="0" w:space="0" w:color="auto"/>
      </w:divBdr>
    </w:div>
    <w:div w:id="1112436672">
      <w:bodyDiv w:val="1"/>
      <w:marLeft w:val="0"/>
      <w:marRight w:val="0"/>
      <w:marTop w:val="0"/>
      <w:marBottom w:val="0"/>
      <w:divBdr>
        <w:top w:val="none" w:sz="0" w:space="0" w:color="auto"/>
        <w:left w:val="none" w:sz="0" w:space="0" w:color="auto"/>
        <w:bottom w:val="none" w:sz="0" w:space="0" w:color="auto"/>
        <w:right w:val="none" w:sz="0" w:space="0" w:color="auto"/>
      </w:divBdr>
    </w:div>
    <w:div w:id="1143229133">
      <w:bodyDiv w:val="1"/>
      <w:marLeft w:val="0"/>
      <w:marRight w:val="0"/>
      <w:marTop w:val="0"/>
      <w:marBottom w:val="0"/>
      <w:divBdr>
        <w:top w:val="none" w:sz="0" w:space="0" w:color="auto"/>
        <w:left w:val="none" w:sz="0" w:space="0" w:color="auto"/>
        <w:bottom w:val="none" w:sz="0" w:space="0" w:color="auto"/>
        <w:right w:val="none" w:sz="0" w:space="0" w:color="auto"/>
      </w:divBdr>
    </w:div>
    <w:div w:id="1150512733">
      <w:bodyDiv w:val="1"/>
      <w:marLeft w:val="0"/>
      <w:marRight w:val="0"/>
      <w:marTop w:val="0"/>
      <w:marBottom w:val="0"/>
      <w:divBdr>
        <w:top w:val="none" w:sz="0" w:space="0" w:color="auto"/>
        <w:left w:val="none" w:sz="0" w:space="0" w:color="auto"/>
        <w:bottom w:val="none" w:sz="0" w:space="0" w:color="auto"/>
        <w:right w:val="none" w:sz="0" w:space="0" w:color="auto"/>
      </w:divBdr>
    </w:div>
    <w:div w:id="1209564604">
      <w:bodyDiv w:val="1"/>
      <w:marLeft w:val="0"/>
      <w:marRight w:val="0"/>
      <w:marTop w:val="0"/>
      <w:marBottom w:val="0"/>
      <w:divBdr>
        <w:top w:val="none" w:sz="0" w:space="0" w:color="auto"/>
        <w:left w:val="none" w:sz="0" w:space="0" w:color="auto"/>
        <w:bottom w:val="none" w:sz="0" w:space="0" w:color="auto"/>
        <w:right w:val="none" w:sz="0" w:space="0" w:color="auto"/>
      </w:divBdr>
    </w:div>
    <w:div w:id="1304119762">
      <w:bodyDiv w:val="1"/>
      <w:marLeft w:val="0"/>
      <w:marRight w:val="0"/>
      <w:marTop w:val="0"/>
      <w:marBottom w:val="0"/>
      <w:divBdr>
        <w:top w:val="none" w:sz="0" w:space="0" w:color="auto"/>
        <w:left w:val="none" w:sz="0" w:space="0" w:color="auto"/>
        <w:bottom w:val="none" w:sz="0" w:space="0" w:color="auto"/>
        <w:right w:val="none" w:sz="0" w:space="0" w:color="auto"/>
      </w:divBdr>
    </w:div>
    <w:div w:id="1350255184">
      <w:bodyDiv w:val="1"/>
      <w:marLeft w:val="0"/>
      <w:marRight w:val="0"/>
      <w:marTop w:val="0"/>
      <w:marBottom w:val="0"/>
      <w:divBdr>
        <w:top w:val="none" w:sz="0" w:space="0" w:color="auto"/>
        <w:left w:val="none" w:sz="0" w:space="0" w:color="auto"/>
        <w:bottom w:val="none" w:sz="0" w:space="0" w:color="auto"/>
        <w:right w:val="none" w:sz="0" w:space="0" w:color="auto"/>
      </w:divBdr>
    </w:div>
    <w:div w:id="1393040103">
      <w:bodyDiv w:val="1"/>
      <w:marLeft w:val="0"/>
      <w:marRight w:val="0"/>
      <w:marTop w:val="0"/>
      <w:marBottom w:val="0"/>
      <w:divBdr>
        <w:top w:val="none" w:sz="0" w:space="0" w:color="auto"/>
        <w:left w:val="none" w:sz="0" w:space="0" w:color="auto"/>
        <w:bottom w:val="none" w:sz="0" w:space="0" w:color="auto"/>
        <w:right w:val="none" w:sz="0" w:space="0" w:color="auto"/>
      </w:divBdr>
    </w:div>
    <w:div w:id="1488210154">
      <w:bodyDiv w:val="1"/>
      <w:marLeft w:val="0"/>
      <w:marRight w:val="0"/>
      <w:marTop w:val="0"/>
      <w:marBottom w:val="0"/>
      <w:divBdr>
        <w:top w:val="none" w:sz="0" w:space="0" w:color="auto"/>
        <w:left w:val="none" w:sz="0" w:space="0" w:color="auto"/>
        <w:bottom w:val="none" w:sz="0" w:space="0" w:color="auto"/>
        <w:right w:val="none" w:sz="0" w:space="0" w:color="auto"/>
      </w:divBdr>
    </w:div>
    <w:div w:id="1653216296">
      <w:bodyDiv w:val="1"/>
      <w:marLeft w:val="0"/>
      <w:marRight w:val="0"/>
      <w:marTop w:val="0"/>
      <w:marBottom w:val="0"/>
      <w:divBdr>
        <w:top w:val="none" w:sz="0" w:space="0" w:color="auto"/>
        <w:left w:val="none" w:sz="0" w:space="0" w:color="auto"/>
        <w:bottom w:val="none" w:sz="0" w:space="0" w:color="auto"/>
        <w:right w:val="none" w:sz="0" w:space="0" w:color="auto"/>
      </w:divBdr>
    </w:div>
    <w:div w:id="1654915218">
      <w:bodyDiv w:val="1"/>
      <w:marLeft w:val="0"/>
      <w:marRight w:val="0"/>
      <w:marTop w:val="0"/>
      <w:marBottom w:val="0"/>
      <w:divBdr>
        <w:top w:val="none" w:sz="0" w:space="0" w:color="auto"/>
        <w:left w:val="none" w:sz="0" w:space="0" w:color="auto"/>
        <w:bottom w:val="none" w:sz="0" w:space="0" w:color="auto"/>
        <w:right w:val="none" w:sz="0" w:space="0" w:color="auto"/>
      </w:divBdr>
    </w:div>
    <w:div w:id="1819958619">
      <w:bodyDiv w:val="1"/>
      <w:marLeft w:val="0"/>
      <w:marRight w:val="0"/>
      <w:marTop w:val="0"/>
      <w:marBottom w:val="0"/>
      <w:divBdr>
        <w:top w:val="none" w:sz="0" w:space="0" w:color="auto"/>
        <w:left w:val="none" w:sz="0" w:space="0" w:color="auto"/>
        <w:bottom w:val="none" w:sz="0" w:space="0" w:color="auto"/>
        <w:right w:val="none" w:sz="0" w:space="0" w:color="auto"/>
      </w:divBdr>
    </w:div>
    <w:div w:id="1949312189">
      <w:bodyDiv w:val="1"/>
      <w:marLeft w:val="0"/>
      <w:marRight w:val="0"/>
      <w:marTop w:val="0"/>
      <w:marBottom w:val="0"/>
      <w:divBdr>
        <w:top w:val="none" w:sz="0" w:space="0" w:color="auto"/>
        <w:left w:val="none" w:sz="0" w:space="0" w:color="auto"/>
        <w:bottom w:val="none" w:sz="0" w:space="0" w:color="auto"/>
        <w:right w:val="none" w:sz="0" w:space="0" w:color="auto"/>
      </w:divBdr>
    </w:div>
    <w:div w:id="2058773935">
      <w:bodyDiv w:val="1"/>
      <w:marLeft w:val="0"/>
      <w:marRight w:val="0"/>
      <w:marTop w:val="0"/>
      <w:marBottom w:val="0"/>
      <w:divBdr>
        <w:top w:val="none" w:sz="0" w:space="0" w:color="auto"/>
        <w:left w:val="none" w:sz="0" w:space="0" w:color="auto"/>
        <w:bottom w:val="none" w:sz="0" w:space="0" w:color="auto"/>
        <w:right w:val="none" w:sz="0" w:space="0" w:color="auto"/>
      </w:divBdr>
    </w:div>
    <w:div w:id="21420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b.lawbank.com.tw/FLAW/FLAWDOC01.aspx?lsid=FL001362&amp;lno=5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b.lawbank.com.tw/FLAW/FLAWDOC01.aspx?lsid=FL001362&amp;lno=5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lawbank.com.tw/FLAW/FLAWDOC01.aspx?lsid=FL001362&amp;lno=5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51D9-83BE-4C44-A0A0-FF131C5F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徐</dc:creator>
  <cp:keywords/>
  <dc:description/>
  <cp:lastModifiedBy>User</cp:lastModifiedBy>
  <cp:revision>26</cp:revision>
  <cp:lastPrinted>2018-12-05T16:57:00Z</cp:lastPrinted>
  <dcterms:created xsi:type="dcterms:W3CDTF">2018-12-05T16:23:00Z</dcterms:created>
  <dcterms:modified xsi:type="dcterms:W3CDTF">2018-12-05T17:12:00Z</dcterms:modified>
</cp:coreProperties>
</file>