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2795" w14:textId="77777777" w:rsidR="00A66DDF" w:rsidRDefault="00000000">
      <w:pPr>
        <w:spacing w:line="360" w:lineRule="auto"/>
        <w:jc w:val="center"/>
        <w:rPr>
          <w:rFonts w:ascii="宋体" w:hAnsi="宋体" w:hint="eastAsia"/>
          <w:sz w:val="32"/>
          <w:szCs w:val="28"/>
        </w:rPr>
      </w:pPr>
      <w:r>
        <w:rPr>
          <w:rFonts w:ascii="宋体" w:hAnsi="宋体" w:hint="eastAsia"/>
          <w:sz w:val="32"/>
          <w:szCs w:val="28"/>
        </w:rPr>
        <w:t>6月11行情复盘及市场要点</w:t>
      </w:r>
    </w:p>
    <w:p w14:paraId="303862B6" w14:textId="77777777" w:rsidR="00A66DDF" w:rsidRDefault="00000000">
      <w:pPr>
        <w:pStyle w:val="ab"/>
        <w:numPr>
          <w:ilvl w:val="0"/>
          <w:numId w:val="1"/>
        </w:numPr>
        <w:spacing w:line="360" w:lineRule="auto"/>
        <w:ind w:firstLineChars="0"/>
        <w:rPr>
          <w:rFonts w:ascii="宋体" w:hAnsi="宋体" w:hint="eastAsia"/>
          <w:sz w:val="28"/>
          <w:szCs w:val="28"/>
        </w:rPr>
      </w:pPr>
      <w:r>
        <w:rPr>
          <w:rFonts w:ascii="宋体" w:hAnsi="宋体" w:hint="eastAsia"/>
          <w:sz w:val="28"/>
          <w:szCs w:val="28"/>
        </w:rPr>
        <w:t>行情复盘</w:t>
      </w:r>
    </w:p>
    <w:p w14:paraId="60A174CB" w14:textId="6091B1A2" w:rsidR="00A66DDF" w:rsidRDefault="00000000">
      <w:pPr>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hint="eastAsia"/>
          <w:bCs/>
          <w:sz w:val="28"/>
          <w:szCs w:val="28"/>
        </w:rPr>
        <w:t xml:space="preserve">    </w:t>
      </w:r>
      <w:r>
        <w:rPr>
          <w:rFonts w:ascii="Times New Roman" w:hAnsi="Times New Roman" w:cs="Times New Roman" w:hint="eastAsia"/>
          <w:bCs/>
          <w:sz w:val="28"/>
          <w:szCs w:val="28"/>
        </w:rPr>
        <w:t>今日市场全天震荡反弹，创业板指领涨。</w:t>
      </w:r>
      <w:r>
        <w:rPr>
          <w:rFonts w:ascii="Times New Roman" w:hAnsi="Times New Roman" w:cs="Times New Roman"/>
          <w:bCs/>
          <w:sz w:val="28"/>
          <w:szCs w:val="28"/>
        </w:rPr>
        <w:t>截至收盘，</w:t>
      </w:r>
      <w:r>
        <w:rPr>
          <w:rFonts w:ascii="Times New Roman" w:hAnsi="Times New Roman" w:cs="Times New Roman" w:hint="eastAsia"/>
          <w:bCs/>
          <w:sz w:val="28"/>
          <w:szCs w:val="28"/>
        </w:rPr>
        <w:t>沪指涨</w:t>
      </w:r>
      <w:r>
        <w:rPr>
          <w:rFonts w:ascii="Times New Roman" w:hAnsi="Times New Roman" w:cs="Times New Roman" w:hint="eastAsia"/>
          <w:bCs/>
          <w:sz w:val="28"/>
          <w:szCs w:val="28"/>
        </w:rPr>
        <w:t>0.52%</w:t>
      </w:r>
      <w:r>
        <w:rPr>
          <w:rFonts w:ascii="Times New Roman" w:hAnsi="Times New Roman" w:cs="Times New Roman" w:hint="eastAsia"/>
          <w:bCs/>
          <w:sz w:val="28"/>
          <w:szCs w:val="28"/>
        </w:rPr>
        <w:t>，深成指涨</w:t>
      </w:r>
      <w:r>
        <w:rPr>
          <w:rFonts w:ascii="Times New Roman" w:hAnsi="Times New Roman" w:cs="Times New Roman" w:hint="eastAsia"/>
          <w:bCs/>
          <w:sz w:val="28"/>
          <w:szCs w:val="28"/>
        </w:rPr>
        <w:t>0.83%</w:t>
      </w:r>
      <w:r>
        <w:rPr>
          <w:rFonts w:ascii="Times New Roman" w:hAnsi="Times New Roman" w:cs="Times New Roman" w:hint="eastAsia"/>
          <w:bCs/>
          <w:sz w:val="28"/>
          <w:szCs w:val="28"/>
        </w:rPr>
        <w:t>，创业板指涨</w:t>
      </w:r>
      <w:r>
        <w:rPr>
          <w:rFonts w:ascii="Times New Roman" w:hAnsi="Times New Roman" w:cs="Times New Roman" w:hint="eastAsia"/>
          <w:bCs/>
          <w:sz w:val="28"/>
          <w:szCs w:val="28"/>
        </w:rPr>
        <w:t>1.21%</w:t>
      </w:r>
      <w:r>
        <w:rPr>
          <w:rFonts w:ascii="Times New Roman" w:hAnsi="Times New Roman" w:cs="Times New Roman" w:hint="eastAsia"/>
          <w:bCs/>
          <w:sz w:val="28"/>
          <w:szCs w:val="28"/>
        </w:rPr>
        <w:t>，沪深两市全天成交额</w:t>
      </w:r>
      <w:r>
        <w:rPr>
          <w:rFonts w:ascii="Times New Roman" w:hAnsi="Times New Roman" w:cs="Times New Roman" w:hint="eastAsia"/>
          <w:bCs/>
          <w:sz w:val="28"/>
          <w:szCs w:val="28"/>
        </w:rPr>
        <w:t>1.26</w:t>
      </w:r>
      <w:proofErr w:type="gramStart"/>
      <w:r>
        <w:rPr>
          <w:rFonts w:ascii="Times New Roman" w:hAnsi="Times New Roman" w:cs="Times New Roman" w:hint="eastAsia"/>
          <w:bCs/>
          <w:sz w:val="28"/>
          <w:szCs w:val="28"/>
        </w:rPr>
        <w:t>万亿</w:t>
      </w:r>
      <w:proofErr w:type="gramEnd"/>
      <w:r>
        <w:rPr>
          <w:rFonts w:ascii="Times New Roman" w:hAnsi="Times New Roman" w:cs="Times New Roman" w:hint="eastAsia"/>
          <w:bCs/>
          <w:sz w:val="28"/>
          <w:szCs w:val="28"/>
        </w:rPr>
        <w:t>，较上个交易日缩量</w:t>
      </w:r>
      <w:r>
        <w:rPr>
          <w:rFonts w:ascii="Times New Roman" w:hAnsi="Times New Roman" w:cs="Times New Roman" w:hint="eastAsia"/>
          <w:bCs/>
          <w:sz w:val="28"/>
          <w:szCs w:val="28"/>
        </w:rPr>
        <w:t>1599</w:t>
      </w:r>
      <w:r>
        <w:rPr>
          <w:rFonts w:ascii="Times New Roman" w:hAnsi="Times New Roman" w:cs="Times New Roman" w:hint="eastAsia"/>
          <w:bCs/>
          <w:sz w:val="28"/>
          <w:szCs w:val="28"/>
        </w:rPr>
        <w:t>亿。个股方面，上涨股票数量超过</w:t>
      </w:r>
      <w:r>
        <w:rPr>
          <w:rFonts w:ascii="Times New Roman" w:hAnsi="Times New Roman" w:cs="Times New Roman" w:hint="eastAsia"/>
          <w:bCs/>
          <w:sz w:val="28"/>
          <w:szCs w:val="28"/>
        </w:rPr>
        <w:t>3400</w:t>
      </w:r>
      <w:r>
        <w:rPr>
          <w:rFonts w:ascii="Times New Roman" w:hAnsi="Times New Roman" w:cs="Times New Roman" w:hint="eastAsia"/>
          <w:bCs/>
          <w:sz w:val="28"/>
          <w:szCs w:val="28"/>
        </w:rPr>
        <w:t>只，逾</w:t>
      </w:r>
      <w:r>
        <w:rPr>
          <w:rFonts w:ascii="Times New Roman" w:hAnsi="Times New Roman" w:cs="Times New Roman" w:hint="eastAsia"/>
          <w:bCs/>
          <w:sz w:val="28"/>
          <w:szCs w:val="28"/>
        </w:rPr>
        <w:t>70</w:t>
      </w:r>
      <w:r>
        <w:rPr>
          <w:rFonts w:ascii="Times New Roman" w:hAnsi="Times New Roman" w:cs="Times New Roman" w:hint="eastAsia"/>
          <w:bCs/>
          <w:sz w:val="28"/>
          <w:szCs w:val="28"/>
        </w:rPr>
        <w:t>只股票涨停。稀土永磁概念股大涨，中</w:t>
      </w:r>
      <w:proofErr w:type="gramStart"/>
      <w:r>
        <w:rPr>
          <w:rFonts w:ascii="Times New Roman" w:hAnsi="Times New Roman" w:cs="Times New Roman" w:hint="eastAsia"/>
          <w:bCs/>
          <w:sz w:val="28"/>
          <w:szCs w:val="28"/>
        </w:rPr>
        <w:t>科磁业</w:t>
      </w:r>
      <w:proofErr w:type="gramEnd"/>
      <w:r>
        <w:rPr>
          <w:rFonts w:ascii="Times New Roman" w:hAnsi="Times New Roman" w:cs="Times New Roman" w:hint="eastAsia"/>
          <w:bCs/>
          <w:sz w:val="28"/>
          <w:szCs w:val="28"/>
        </w:rPr>
        <w:t>20cm</w:t>
      </w:r>
      <w:r>
        <w:rPr>
          <w:rFonts w:ascii="Times New Roman" w:hAnsi="Times New Roman" w:cs="Times New Roman" w:hint="eastAsia"/>
          <w:bCs/>
          <w:sz w:val="28"/>
          <w:szCs w:val="28"/>
        </w:rPr>
        <w:t>涨停，北矿科技、华宏科技、宁波韵升涨停。汽车零部件概念股表现活跃，美</w:t>
      </w:r>
      <w:proofErr w:type="gramStart"/>
      <w:r>
        <w:rPr>
          <w:rFonts w:ascii="Times New Roman" w:hAnsi="Times New Roman" w:cs="Times New Roman" w:hint="eastAsia"/>
          <w:bCs/>
          <w:sz w:val="28"/>
          <w:szCs w:val="28"/>
        </w:rPr>
        <w:t>晨科技</w:t>
      </w:r>
      <w:proofErr w:type="gramEnd"/>
      <w:r>
        <w:rPr>
          <w:rFonts w:ascii="Times New Roman" w:hAnsi="Times New Roman" w:cs="Times New Roman" w:hint="eastAsia"/>
          <w:bCs/>
          <w:sz w:val="28"/>
          <w:szCs w:val="28"/>
        </w:rPr>
        <w:t>等</w:t>
      </w:r>
      <w:r>
        <w:rPr>
          <w:rFonts w:ascii="Times New Roman" w:hAnsi="Times New Roman" w:cs="Times New Roman" w:hint="eastAsia"/>
          <w:bCs/>
          <w:sz w:val="28"/>
          <w:szCs w:val="28"/>
        </w:rPr>
        <w:t>10</w:t>
      </w:r>
      <w:r>
        <w:rPr>
          <w:rFonts w:ascii="Times New Roman" w:hAnsi="Times New Roman" w:cs="Times New Roman" w:hint="eastAsia"/>
          <w:bCs/>
          <w:sz w:val="28"/>
          <w:szCs w:val="28"/>
        </w:rPr>
        <w:t>余股涨停。券商等金融股一度冲高，兴业</w:t>
      </w:r>
      <w:proofErr w:type="gramStart"/>
      <w:r>
        <w:rPr>
          <w:rFonts w:ascii="Times New Roman" w:hAnsi="Times New Roman" w:cs="Times New Roman" w:hint="eastAsia"/>
          <w:bCs/>
          <w:sz w:val="28"/>
          <w:szCs w:val="28"/>
        </w:rPr>
        <w:t>证券涨超</w:t>
      </w:r>
      <w:proofErr w:type="gramEnd"/>
      <w:r>
        <w:rPr>
          <w:rFonts w:ascii="Times New Roman" w:hAnsi="Times New Roman" w:cs="Times New Roman" w:hint="eastAsia"/>
          <w:bCs/>
          <w:sz w:val="28"/>
          <w:szCs w:val="28"/>
        </w:rPr>
        <w:t>9%</w:t>
      </w:r>
      <w:r>
        <w:rPr>
          <w:rFonts w:ascii="Times New Roman" w:hAnsi="Times New Roman" w:cs="Times New Roman" w:hint="eastAsia"/>
          <w:bCs/>
          <w:sz w:val="28"/>
          <w:szCs w:val="28"/>
        </w:rPr>
        <w:t>。下跌方面，</w:t>
      </w:r>
      <w:proofErr w:type="gramStart"/>
      <w:r>
        <w:rPr>
          <w:rFonts w:ascii="Times New Roman" w:hAnsi="Times New Roman" w:cs="Times New Roman" w:hint="eastAsia"/>
          <w:bCs/>
          <w:sz w:val="28"/>
          <w:szCs w:val="28"/>
        </w:rPr>
        <w:t>核电股</w:t>
      </w:r>
      <w:proofErr w:type="gramEnd"/>
      <w:r>
        <w:rPr>
          <w:rFonts w:ascii="Times New Roman" w:hAnsi="Times New Roman" w:cs="Times New Roman" w:hint="eastAsia"/>
          <w:bCs/>
          <w:sz w:val="28"/>
          <w:szCs w:val="28"/>
        </w:rPr>
        <w:t>展开调整，尚</w:t>
      </w:r>
      <w:proofErr w:type="gramStart"/>
      <w:r>
        <w:rPr>
          <w:rFonts w:ascii="Times New Roman" w:hAnsi="Times New Roman" w:cs="Times New Roman" w:hint="eastAsia"/>
          <w:bCs/>
          <w:sz w:val="28"/>
          <w:szCs w:val="28"/>
        </w:rPr>
        <w:t>纬股份跌</w:t>
      </w:r>
      <w:proofErr w:type="gramEnd"/>
      <w:r>
        <w:rPr>
          <w:rFonts w:ascii="Times New Roman" w:hAnsi="Times New Roman" w:cs="Times New Roman" w:hint="eastAsia"/>
          <w:bCs/>
          <w:sz w:val="28"/>
          <w:szCs w:val="28"/>
        </w:rPr>
        <w:t>停。行业板块多数收涨，小金属、游戏、能源金属、保险、汽车零部件、证券、贸易行业、非金属材料、珠宝首饰、有色金属板块涨幅居前。</w:t>
      </w:r>
      <w:r w:rsidR="00673762" w:rsidRPr="00673762">
        <w:rPr>
          <w:rFonts w:ascii="Times New Roman" w:hAnsi="Times New Roman" w:cs="Times New Roman" w:hint="eastAsia"/>
          <w:bCs/>
          <w:sz w:val="28"/>
          <w:szCs w:val="28"/>
        </w:rPr>
        <w:t>核心驱动因素包括中美经贸框架协议落地、深圳综合改革政策催化、稀土供需错配及供应链优化预期升温。</w:t>
      </w:r>
    </w:p>
    <w:p w14:paraId="60B90D18" w14:textId="03C3FAE8" w:rsidR="00A66DDF" w:rsidRDefault="00000000">
      <w:pPr>
        <w:spacing w:line="360" w:lineRule="auto"/>
        <w:ind w:firstLineChars="200" w:firstLine="560"/>
        <w:rPr>
          <w:rFonts w:asciiTheme="minorEastAsia" w:eastAsiaTheme="minorEastAsia" w:hAnsiTheme="minorEastAsia" w:hint="eastAsia"/>
          <w:sz w:val="28"/>
          <w:szCs w:val="28"/>
        </w:rPr>
      </w:pPr>
      <w:proofErr w:type="gramStart"/>
      <w:r>
        <w:rPr>
          <w:rFonts w:asciiTheme="minorEastAsia" w:eastAsiaTheme="minorEastAsia" w:hAnsiTheme="minorEastAsia" w:hint="eastAsia"/>
          <w:sz w:val="28"/>
          <w:szCs w:val="28"/>
        </w:rPr>
        <w:t>基差方面</w:t>
      </w:r>
      <w:proofErr w:type="gramEnd"/>
      <w:r>
        <w:rPr>
          <w:rFonts w:asciiTheme="minorEastAsia" w:eastAsiaTheme="minorEastAsia" w:hAnsiTheme="minorEastAsia" w:hint="eastAsia"/>
          <w:sz w:val="28"/>
          <w:szCs w:val="28"/>
        </w:rPr>
        <w:t>，四大股指期货合约的</w:t>
      </w:r>
      <w:proofErr w:type="gramStart"/>
      <w:r>
        <w:rPr>
          <w:rFonts w:asciiTheme="minorEastAsia" w:eastAsiaTheme="minorEastAsia" w:hAnsiTheme="minorEastAsia" w:hint="eastAsia"/>
          <w:sz w:val="28"/>
          <w:szCs w:val="28"/>
        </w:rPr>
        <w:t>基差整体</w:t>
      </w:r>
      <w:proofErr w:type="gramEnd"/>
      <w:r>
        <w:rPr>
          <w:rFonts w:asciiTheme="minorEastAsia" w:eastAsiaTheme="minorEastAsia" w:hAnsiTheme="minorEastAsia" w:hint="eastAsia"/>
          <w:sz w:val="28"/>
          <w:szCs w:val="28"/>
        </w:rPr>
        <w:t>呈现正值，表明市场普遍处于贴水状态</w:t>
      </w:r>
      <w:r>
        <w:rPr>
          <w:rFonts w:asciiTheme="minorEastAsia" w:eastAsiaTheme="minorEastAsia" w:hAnsiTheme="minorEastAsia"/>
          <w:sz w:val="28"/>
          <w:szCs w:val="28"/>
        </w:rPr>
        <w:t>。</w:t>
      </w:r>
      <w:r>
        <w:rPr>
          <w:rFonts w:asciiTheme="minorEastAsia" w:eastAsiaTheme="minorEastAsia" w:hAnsiTheme="minorEastAsia" w:hint="eastAsia"/>
          <w:sz w:val="28"/>
          <w:szCs w:val="28"/>
        </w:rPr>
        <w:t>从近几日来看，贴水均有所收敛</w:t>
      </w:r>
      <w:r w:rsidR="00135898">
        <w:rPr>
          <w:rFonts w:asciiTheme="minorEastAsia" w:eastAsiaTheme="minorEastAsia" w:hAnsiTheme="minorEastAsia" w:hint="eastAsia"/>
          <w:sz w:val="28"/>
          <w:szCs w:val="28"/>
        </w:rPr>
        <w:t>，</w:t>
      </w:r>
      <w:r w:rsidR="00135898" w:rsidRPr="00135898">
        <w:rPr>
          <w:rFonts w:asciiTheme="minorEastAsia" w:eastAsiaTheme="minorEastAsia" w:hAnsiTheme="minorEastAsia" w:hint="eastAsia"/>
          <w:sz w:val="28"/>
          <w:szCs w:val="28"/>
        </w:rPr>
        <w:t>一定程度上体现出短期市场情绪有所修复</w:t>
      </w:r>
      <w:r>
        <w:rPr>
          <w:rFonts w:asciiTheme="minorEastAsia" w:eastAsiaTheme="minorEastAsia" w:hAnsiTheme="minorEastAsia" w:hint="eastAsia"/>
          <w:sz w:val="28"/>
          <w:szCs w:val="28"/>
        </w:rPr>
        <w:t>。</w:t>
      </w:r>
      <w:r>
        <w:rPr>
          <w:rFonts w:asciiTheme="minorEastAsia" w:eastAsiaTheme="minorEastAsia" w:hAnsiTheme="minorEastAsia"/>
          <w:sz w:val="28"/>
          <w:szCs w:val="28"/>
        </w:rPr>
        <w:t>中小盘合约方面，</w:t>
      </w:r>
      <w:r w:rsidR="00135898">
        <w:rPr>
          <w:rFonts w:asciiTheme="minorEastAsia" w:eastAsiaTheme="minorEastAsia" w:hAnsiTheme="minorEastAsia" w:hint="eastAsia"/>
          <w:sz w:val="28"/>
          <w:szCs w:val="28"/>
        </w:rPr>
        <w:t>近月远月合约均有收敛迹象</w:t>
      </w:r>
      <w:r>
        <w:rPr>
          <w:rFonts w:asciiTheme="minorEastAsia" w:eastAsiaTheme="minorEastAsia" w:hAnsiTheme="minorEastAsia" w:hint="eastAsia"/>
          <w:sz w:val="28"/>
          <w:szCs w:val="28"/>
        </w:rPr>
        <w:t>，但</w:t>
      </w:r>
      <w:r>
        <w:rPr>
          <w:rFonts w:asciiTheme="minorEastAsia" w:eastAsiaTheme="minorEastAsia" w:hAnsiTheme="minorEastAsia"/>
          <w:sz w:val="28"/>
          <w:szCs w:val="28"/>
        </w:rPr>
        <w:t>IC与IM系列的贴水幅度显著高于大盘合约，</w:t>
      </w:r>
      <w:r>
        <w:rPr>
          <w:rFonts w:asciiTheme="minorEastAsia" w:eastAsiaTheme="minorEastAsia" w:hAnsiTheme="minorEastAsia" w:hint="eastAsia"/>
          <w:sz w:val="28"/>
          <w:szCs w:val="28"/>
        </w:rPr>
        <w:t>表明市场对中小</w:t>
      </w:r>
      <w:proofErr w:type="gramStart"/>
      <w:r>
        <w:rPr>
          <w:rFonts w:asciiTheme="minorEastAsia" w:eastAsiaTheme="minorEastAsia" w:hAnsiTheme="minorEastAsia" w:hint="eastAsia"/>
          <w:sz w:val="28"/>
          <w:szCs w:val="28"/>
        </w:rPr>
        <w:t>盘成长</w:t>
      </w:r>
      <w:proofErr w:type="gramEnd"/>
      <w:r>
        <w:rPr>
          <w:rFonts w:asciiTheme="minorEastAsia" w:eastAsiaTheme="minorEastAsia" w:hAnsiTheme="minorEastAsia" w:hint="eastAsia"/>
          <w:sz w:val="28"/>
          <w:szCs w:val="28"/>
        </w:rPr>
        <w:t>板块的长期风险定价保持谨慎</w:t>
      </w:r>
      <w:r>
        <w:rPr>
          <w:rFonts w:asciiTheme="minorEastAsia" w:eastAsiaTheme="minorEastAsia" w:hAnsiTheme="minorEastAsia"/>
          <w:sz w:val="28"/>
          <w:szCs w:val="28"/>
        </w:rPr>
        <w:t>。近月合约贴水在过去几日有所收敛。相比之下，大盘风格合约贴水相对温和，IH</w:t>
      </w:r>
      <w:r w:rsidR="00135898">
        <w:rPr>
          <w:rFonts w:asciiTheme="minorEastAsia" w:eastAsiaTheme="minorEastAsia" w:hAnsiTheme="minorEastAsia" w:hint="eastAsia"/>
          <w:sz w:val="28"/>
          <w:szCs w:val="28"/>
        </w:rPr>
        <w:t>近月</w:t>
      </w:r>
      <w:r>
        <w:rPr>
          <w:rFonts w:asciiTheme="minorEastAsia" w:eastAsiaTheme="minorEastAsia" w:hAnsiTheme="minorEastAsia"/>
          <w:sz w:val="28"/>
          <w:szCs w:val="28"/>
        </w:rPr>
        <w:t>合约接近平水水平。IF系列远月合约贴水</w:t>
      </w:r>
      <w:r>
        <w:rPr>
          <w:rFonts w:asciiTheme="minorEastAsia" w:eastAsiaTheme="minorEastAsia" w:hAnsiTheme="minorEastAsia" w:hint="eastAsia"/>
          <w:sz w:val="28"/>
          <w:szCs w:val="28"/>
        </w:rPr>
        <w:t>较深</w:t>
      </w:r>
      <w:r w:rsidR="00135898">
        <w:rPr>
          <w:rFonts w:asciiTheme="minorEastAsia" w:eastAsiaTheme="minorEastAsia" w:hAnsiTheme="minorEastAsia" w:hint="eastAsia"/>
          <w:sz w:val="28"/>
          <w:szCs w:val="28"/>
        </w:rPr>
        <w:t>但也进一步收窄</w:t>
      </w:r>
      <w:r>
        <w:rPr>
          <w:rFonts w:asciiTheme="minorEastAsia" w:eastAsiaTheme="minorEastAsia" w:hAnsiTheme="minorEastAsia"/>
          <w:sz w:val="28"/>
          <w:szCs w:val="28"/>
        </w:rPr>
        <w:t>。</w:t>
      </w:r>
      <w:r w:rsidR="00135898" w:rsidRPr="00135898">
        <w:rPr>
          <w:rFonts w:asciiTheme="minorEastAsia" w:eastAsiaTheme="minorEastAsia" w:hAnsiTheme="minorEastAsia" w:hint="eastAsia"/>
          <w:sz w:val="28"/>
          <w:szCs w:val="28"/>
        </w:rPr>
        <w:t>市场对大盘指数的中长期走势预期在逐渐改善，宏观经济基本面的稳定以及政策面的积极因素正逐步传导至期货市场，</w:t>
      </w:r>
      <w:r w:rsidR="00135898">
        <w:rPr>
          <w:rFonts w:asciiTheme="minorEastAsia" w:eastAsiaTheme="minorEastAsia" w:hAnsiTheme="minorEastAsia" w:hint="eastAsia"/>
          <w:sz w:val="28"/>
          <w:szCs w:val="28"/>
        </w:rPr>
        <w:t>短期情绪有所修复，</w:t>
      </w:r>
      <w:r w:rsidR="00135898" w:rsidRPr="00135898">
        <w:rPr>
          <w:rFonts w:asciiTheme="minorEastAsia" w:eastAsiaTheme="minorEastAsia" w:hAnsiTheme="minorEastAsia" w:hint="eastAsia"/>
          <w:sz w:val="28"/>
          <w:szCs w:val="28"/>
        </w:rPr>
        <w:t>投资者对大盘</w:t>
      </w:r>
      <w:r w:rsidR="00135898" w:rsidRPr="00135898">
        <w:rPr>
          <w:rFonts w:asciiTheme="minorEastAsia" w:eastAsiaTheme="minorEastAsia" w:hAnsiTheme="minorEastAsia" w:hint="eastAsia"/>
          <w:sz w:val="28"/>
          <w:szCs w:val="28"/>
        </w:rPr>
        <w:lastRenderedPageBreak/>
        <w:t>蓝筹短期内的信心有所增强。</w:t>
      </w:r>
    </w:p>
    <w:p w14:paraId="4C1CE398" w14:textId="77777777" w:rsidR="00135898" w:rsidRPr="00135898" w:rsidRDefault="00135898" w:rsidP="00964D2C">
      <w:pPr>
        <w:spacing w:line="360" w:lineRule="auto"/>
        <w:rPr>
          <w:rFonts w:asciiTheme="minorEastAsia" w:eastAsiaTheme="minorEastAsia" w:hAnsiTheme="minorEastAsia" w:hint="eastAsia"/>
          <w:sz w:val="28"/>
          <w:szCs w:val="28"/>
        </w:rPr>
      </w:pPr>
    </w:p>
    <w:p w14:paraId="6DF172E0" w14:textId="77777777" w:rsidR="00A66DDF" w:rsidRDefault="00000000">
      <w:pPr>
        <w:pStyle w:val="ab"/>
        <w:numPr>
          <w:ilvl w:val="0"/>
          <w:numId w:val="1"/>
        </w:numPr>
        <w:spacing w:line="360" w:lineRule="auto"/>
        <w:ind w:firstLineChars="0"/>
        <w:rPr>
          <w:rFonts w:ascii="宋体" w:hAnsi="宋体" w:hint="eastAsia"/>
          <w:sz w:val="28"/>
          <w:szCs w:val="28"/>
        </w:rPr>
      </w:pPr>
      <w:r>
        <w:rPr>
          <w:rFonts w:ascii="宋体" w:hAnsi="宋体" w:hint="eastAsia"/>
          <w:sz w:val="28"/>
          <w:szCs w:val="28"/>
        </w:rPr>
        <w:t>市场要点</w:t>
      </w:r>
    </w:p>
    <w:p w14:paraId="4BC4D53F" w14:textId="77777777" w:rsidR="00A66DDF" w:rsidRDefault="00000000">
      <w:pPr>
        <w:numPr>
          <w:ilvl w:val="0"/>
          <w:numId w:val="2"/>
        </w:numPr>
        <w:spacing w:line="360" w:lineRule="auto"/>
        <w:ind w:firstLine="420"/>
        <w:rPr>
          <w:rFonts w:asciiTheme="minorEastAsia" w:eastAsiaTheme="minorEastAsia" w:hAnsiTheme="minorEastAsia" w:hint="eastAsia"/>
          <w:b/>
          <w:sz w:val="28"/>
          <w:szCs w:val="28"/>
        </w:rPr>
      </w:pPr>
      <w:r>
        <w:rPr>
          <w:rFonts w:asciiTheme="minorEastAsia" w:eastAsiaTheme="minorEastAsia" w:hAnsiTheme="minorEastAsia" w:hint="eastAsia"/>
          <w:b/>
          <w:sz w:val="28"/>
          <w:szCs w:val="28"/>
        </w:rPr>
        <w:t>中美日内瓦会谈共识达成框架</w:t>
      </w:r>
    </w:p>
    <w:p w14:paraId="26A87446" w14:textId="77777777" w:rsidR="00A66DDF" w:rsidRDefault="00000000">
      <w:pPr>
        <w:spacing w:line="360" w:lineRule="auto"/>
        <w:ind w:firstLineChars="200" w:firstLine="560"/>
        <w:rPr>
          <w:rFonts w:asciiTheme="minorEastAsia" w:eastAsiaTheme="minorEastAsia" w:hAnsiTheme="minorEastAsia" w:hint="eastAsia"/>
          <w:bCs/>
          <w:sz w:val="28"/>
          <w:szCs w:val="28"/>
        </w:rPr>
      </w:pPr>
      <w:r>
        <w:rPr>
          <w:rFonts w:asciiTheme="minorEastAsia" w:eastAsiaTheme="minorEastAsia" w:hAnsiTheme="minorEastAsia" w:hint="eastAsia"/>
          <w:bCs/>
          <w:sz w:val="28"/>
          <w:szCs w:val="28"/>
        </w:rPr>
        <w:t>商务部国际贸易谈判代表兼副部长李成钢在伦敦谈到中美经贸磋商机制首次会议时表示，中美双方进行了专业、理性、深入、坦诚的沟通。双方原则上就落实两国元首6月5日</w:t>
      </w:r>
      <w:proofErr w:type="gramStart"/>
      <w:r>
        <w:rPr>
          <w:rFonts w:asciiTheme="minorEastAsia" w:eastAsiaTheme="minorEastAsia" w:hAnsiTheme="minorEastAsia" w:hint="eastAsia"/>
          <w:bCs/>
          <w:sz w:val="28"/>
          <w:szCs w:val="28"/>
        </w:rPr>
        <w:t>通话共识</w:t>
      </w:r>
      <w:proofErr w:type="gramEnd"/>
      <w:r>
        <w:rPr>
          <w:rFonts w:asciiTheme="minorEastAsia" w:eastAsiaTheme="minorEastAsia" w:hAnsiTheme="minorEastAsia" w:hint="eastAsia"/>
          <w:bCs/>
          <w:sz w:val="28"/>
          <w:szCs w:val="28"/>
        </w:rPr>
        <w:t>以及日内瓦会谈共识达成了框架。有发文称，框架协议是“施工蓝图”而非“竣工验收报告”，它为解决复杂问题提供了方向和路径，但具体细节仍需双方共同努力填充。市场对中美贸易摩擦升级的担忧将有所缓解，风险偏好有望阶段性提升，利好股市等风险资产。特别是与中美贸易高度相关的板块，如出口、科技、部分制造业等，或将迎来一波修复行情，但“原则性框架”距离最终协议的全面</w:t>
      </w:r>
      <w:proofErr w:type="gramStart"/>
      <w:r>
        <w:rPr>
          <w:rFonts w:asciiTheme="minorEastAsia" w:eastAsiaTheme="minorEastAsia" w:hAnsiTheme="minorEastAsia" w:hint="eastAsia"/>
          <w:bCs/>
          <w:sz w:val="28"/>
          <w:szCs w:val="28"/>
        </w:rPr>
        <w:t>落实仍</w:t>
      </w:r>
      <w:proofErr w:type="gramEnd"/>
      <w:r>
        <w:rPr>
          <w:rFonts w:asciiTheme="minorEastAsia" w:eastAsiaTheme="minorEastAsia" w:hAnsiTheme="minorEastAsia" w:hint="eastAsia"/>
          <w:bCs/>
          <w:sz w:val="28"/>
          <w:szCs w:val="28"/>
        </w:rPr>
        <w:t>有距离。</w:t>
      </w:r>
    </w:p>
    <w:p w14:paraId="1C23EC37" w14:textId="77777777" w:rsidR="00A66DDF" w:rsidRDefault="00000000">
      <w:pPr>
        <w:spacing w:line="360" w:lineRule="auto"/>
        <w:ind w:firstLine="420"/>
        <w:rPr>
          <w:rFonts w:asciiTheme="minorEastAsia" w:hAnsiTheme="minorEastAsia" w:hint="eastAsia"/>
          <w:b/>
          <w:sz w:val="28"/>
          <w:szCs w:val="28"/>
        </w:rPr>
      </w:pPr>
      <w:r>
        <w:rPr>
          <w:rFonts w:asciiTheme="minorEastAsia" w:eastAsiaTheme="minorEastAsia" w:hAnsiTheme="minorEastAsia" w:hint="eastAsia"/>
          <w:b/>
          <w:sz w:val="28"/>
          <w:szCs w:val="28"/>
        </w:rPr>
        <w:t xml:space="preserve">2. </w:t>
      </w:r>
      <w:bookmarkStart w:id="0" w:name="OLE_LINK1"/>
      <w:r>
        <w:rPr>
          <w:rFonts w:asciiTheme="minorEastAsia" w:eastAsiaTheme="minorEastAsia" w:hAnsiTheme="minorEastAsia" w:hint="eastAsia"/>
          <w:b/>
          <w:sz w:val="28"/>
          <w:szCs w:val="28"/>
        </w:rPr>
        <w:t>两办关于深圳综合改革发文</w:t>
      </w:r>
    </w:p>
    <w:bookmarkEnd w:id="0"/>
    <w:p w14:paraId="24D5C082" w14:textId="77777777" w:rsidR="00A66DDF" w:rsidRDefault="00000000">
      <w:pPr>
        <w:spacing w:line="360" w:lineRule="auto"/>
        <w:ind w:firstLineChars="200" w:firstLine="540"/>
        <w:rPr>
          <w:rFonts w:asciiTheme="minorEastAsia" w:eastAsiaTheme="minorEastAsia" w:hAnsiTheme="minorEastAsia" w:hint="eastAsia"/>
          <w:bCs/>
          <w:sz w:val="28"/>
          <w:szCs w:val="28"/>
        </w:rPr>
      </w:pPr>
      <w:r>
        <w:rPr>
          <w:rFonts w:ascii="Helvetica" w:eastAsia="Helvetica" w:hAnsi="Helvetica" w:cs="Helvetica"/>
          <w:color w:val="222222"/>
          <w:sz w:val="27"/>
          <w:szCs w:val="27"/>
          <w:shd w:val="clear" w:color="auto" w:fill="FFFFFF"/>
        </w:rPr>
        <w:t>中办、国办印发《关于深入推进深圳综合改革试点 深化改革创新扩大开放的意见》。意见提出，支持深圳深化无人驾驶航空器飞行管理制度改革创新，完善低空飞行监管规则，探索开展跨境直升机飞行、公益服务等通用航空业务；建立健全职务科技成果赋权、转化和考核等机制，对转化形成的国有资产保值增值情况试行长周期考核；允许在香港联合交易所上市的粤港澳大湾区企业，按照政策规定在深圳证券交易所上市</w:t>
      </w:r>
      <w:r>
        <w:rPr>
          <w:rFonts w:asciiTheme="minorEastAsia" w:eastAsiaTheme="minorEastAsia" w:hAnsiTheme="minorEastAsia" w:hint="eastAsia"/>
          <w:bCs/>
          <w:sz w:val="28"/>
          <w:szCs w:val="28"/>
        </w:rPr>
        <w:t>。有观点认为，大势上，“上有顶，下有底”或仍是基准情形，市场的表现也说明了资金对政策利好和交易活跃度提升的积极预期。</w:t>
      </w:r>
    </w:p>
    <w:p w14:paraId="7A0BDDFF" w14:textId="77777777" w:rsidR="00A66DDF" w:rsidRDefault="00000000">
      <w:pPr>
        <w:spacing w:line="360" w:lineRule="auto"/>
        <w:ind w:firstLine="420"/>
        <w:rPr>
          <w:rFonts w:asciiTheme="minorEastAsia" w:eastAsiaTheme="minorEastAsia" w:hAnsiTheme="minorEastAsia" w:hint="eastAsia"/>
          <w:b/>
          <w:sz w:val="28"/>
          <w:szCs w:val="28"/>
        </w:rPr>
      </w:pPr>
      <w:r>
        <w:rPr>
          <w:rFonts w:asciiTheme="minorEastAsia" w:eastAsiaTheme="minorEastAsia" w:hAnsiTheme="minorEastAsia" w:hint="eastAsia"/>
          <w:b/>
          <w:sz w:val="28"/>
          <w:szCs w:val="28"/>
        </w:rPr>
        <w:lastRenderedPageBreak/>
        <w:t>3. 汽车业“反内卷”</w:t>
      </w:r>
    </w:p>
    <w:p w14:paraId="3154DF2F" w14:textId="77777777" w:rsidR="00A66DDF" w:rsidRDefault="00000000">
      <w:pPr>
        <w:spacing w:line="360" w:lineRule="auto"/>
        <w:ind w:firstLine="420"/>
        <w:rPr>
          <w:rFonts w:asciiTheme="minorEastAsia" w:eastAsiaTheme="minorEastAsia" w:hAnsiTheme="minorEastAsia" w:hint="eastAsia"/>
          <w:bCs/>
          <w:sz w:val="28"/>
          <w:szCs w:val="28"/>
        </w:rPr>
      </w:pPr>
      <w:r>
        <w:rPr>
          <w:rFonts w:asciiTheme="minorEastAsia" w:eastAsiaTheme="minorEastAsia" w:hAnsiTheme="minorEastAsia" w:hint="eastAsia"/>
          <w:bCs/>
          <w:sz w:val="28"/>
          <w:szCs w:val="28"/>
        </w:rPr>
        <w:t>在政府发力整治汽车行业“内卷式”竞争的背景下，</w:t>
      </w:r>
      <w:proofErr w:type="gramStart"/>
      <w:r>
        <w:rPr>
          <w:rFonts w:asciiTheme="minorEastAsia" w:eastAsiaTheme="minorEastAsia" w:hAnsiTheme="minorEastAsia" w:hint="eastAsia"/>
          <w:bCs/>
          <w:sz w:val="28"/>
          <w:szCs w:val="28"/>
        </w:rPr>
        <w:t>一</w:t>
      </w:r>
      <w:proofErr w:type="gramEnd"/>
      <w:r>
        <w:rPr>
          <w:rFonts w:asciiTheme="minorEastAsia" w:eastAsiaTheme="minorEastAsia" w:hAnsiTheme="minorEastAsia" w:hint="eastAsia"/>
          <w:bCs/>
          <w:sz w:val="28"/>
          <w:szCs w:val="28"/>
        </w:rPr>
        <w:t>汽、东风、广汽、赛力斯四家</w:t>
      </w:r>
      <w:proofErr w:type="gramStart"/>
      <w:r>
        <w:rPr>
          <w:rFonts w:asciiTheme="minorEastAsia" w:eastAsiaTheme="minorEastAsia" w:hAnsiTheme="minorEastAsia" w:hint="eastAsia"/>
          <w:bCs/>
          <w:sz w:val="28"/>
          <w:szCs w:val="28"/>
        </w:rPr>
        <w:t>车企发表</w:t>
      </w:r>
      <w:proofErr w:type="gramEnd"/>
      <w:r>
        <w:rPr>
          <w:rFonts w:asciiTheme="minorEastAsia" w:eastAsiaTheme="minorEastAsia" w:hAnsiTheme="minorEastAsia" w:hint="eastAsia"/>
          <w:bCs/>
          <w:sz w:val="28"/>
          <w:szCs w:val="28"/>
        </w:rPr>
        <w:t>声明称，承诺将支付账期控制在60天以内。目前，已有12家车企</w:t>
      </w:r>
      <w:proofErr w:type="gramStart"/>
      <w:r>
        <w:rPr>
          <w:rFonts w:asciiTheme="minorEastAsia" w:eastAsiaTheme="minorEastAsia" w:hAnsiTheme="minorEastAsia" w:hint="eastAsia"/>
          <w:bCs/>
          <w:sz w:val="28"/>
          <w:szCs w:val="28"/>
        </w:rPr>
        <w:t>作出</w:t>
      </w:r>
      <w:proofErr w:type="gramEnd"/>
      <w:r>
        <w:rPr>
          <w:rFonts w:asciiTheme="minorEastAsia" w:eastAsiaTheme="minorEastAsia" w:hAnsiTheme="minorEastAsia" w:hint="eastAsia"/>
          <w:bCs/>
          <w:sz w:val="28"/>
          <w:szCs w:val="28"/>
        </w:rPr>
        <w:t>“将支付账期控制在60天以内”的承诺。近日，工信</w:t>
      </w:r>
      <w:proofErr w:type="gramStart"/>
      <w:r>
        <w:rPr>
          <w:rFonts w:asciiTheme="minorEastAsia" w:eastAsiaTheme="minorEastAsia" w:hAnsiTheme="minorEastAsia" w:hint="eastAsia"/>
          <w:bCs/>
          <w:sz w:val="28"/>
          <w:szCs w:val="28"/>
        </w:rPr>
        <w:t>部多次</w:t>
      </w:r>
      <w:proofErr w:type="gramEnd"/>
      <w:r>
        <w:rPr>
          <w:rFonts w:asciiTheme="minorEastAsia" w:eastAsiaTheme="minorEastAsia" w:hAnsiTheme="minorEastAsia" w:hint="eastAsia"/>
          <w:bCs/>
          <w:sz w:val="28"/>
          <w:szCs w:val="28"/>
        </w:rPr>
        <w:t>明确强调，将加大汽车行业“内卷式”</w:t>
      </w:r>
      <w:proofErr w:type="gramStart"/>
      <w:r>
        <w:rPr>
          <w:rFonts w:asciiTheme="minorEastAsia" w:eastAsiaTheme="minorEastAsia" w:hAnsiTheme="minorEastAsia" w:hint="eastAsia"/>
          <w:bCs/>
          <w:sz w:val="28"/>
          <w:szCs w:val="28"/>
        </w:rPr>
        <w:t>竞争整治</w:t>
      </w:r>
      <w:proofErr w:type="gramEnd"/>
      <w:r>
        <w:rPr>
          <w:rFonts w:asciiTheme="minorEastAsia" w:eastAsiaTheme="minorEastAsia" w:hAnsiTheme="minorEastAsia" w:hint="eastAsia"/>
          <w:bCs/>
          <w:sz w:val="28"/>
          <w:szCs w:val="28"/>
        </w:rPr>
        <w:t>力度，坚决维护公平有序的市场环境。</w:t>
      </w:r>
      <w:proofErr w:type="gramStart"/>
      <w:r>
        <w:rPr>
          <w:rFonts w:asciiTheme="minorEastAsia" w:eastAsiaTheme="minorEastAsia" w:hAnsiTheme="minorEastAsia" w:hint="eastAsia"/>
          <w:bCs/>
          <w:sz w:val="28"/>
          <w:szCs w:val="28"/>
        </w:rPr>
        <w:t>作出</w:t>
      </w:r>
      <w:proofErr w:type="gramEnd"/>
      <w:r>
        <w:rPr>
          <w:rFonts w:asciiTheme="minorEastAsia" w:eastAsiaTheme="minorEastAsia" w:hAnsiTheme="minorEastAsia" w:hint="eastAsia"/>
          <w:bCs/>
          <w:sz w:val="28"/>
          <w:szCs w:val="28"/>
        </w:rPr>
        <w:t>“支付账期不超过60天”承诺的车企不断扩围。有观点认为，车企承诺缩短支付账期，这对供应商来说，资金周转加快，供应商就能保证产品质量。这</w:t>
      </w:r>
      <w:proofErr w:type="gramStart"/>
      <w:r>
        <w:rPr>
          <w:rFonts w:asciiTheme="minorEastAsia" w:eastAsiaTheme="minorEastAsia" w:hAnsiTheme="minorEastAsia" w:hint="eastAsia"/>
          <w:bCs/>
          <w:sz w:val="28"/>
          <w:szCs w:val="28"/>
        </w:rPr>
        <w:t>一纸账期承诺</w:t>
      </w:r>
      <w:proofErr w:type="gramEnd"/>
      <w:r>
        <w:rPr>
          <w:rFonts w:asciiTheme="minorEastAsia" w:eastAsiaTheme="minorEastAsia" w:hAnsiTheme="minorEastAsia" w:hint="eastAsia"/>
          <w:bCs/>
          <w:sz w:val="28"/>
          <w:szCs w:val="28"/>
        </w:rPr>
        <w:t>，本质是汽车业集体摆脱“自残式竞争”的拐点。当全行业停止在泥潭里互扯后腿，站起来跑的姿势才会更体面——而这正是消费者最期待的良性循环。</w:t>
      </w:r>
    </w:p>
    <w:p w14:paraId="09C72237" w14:textId="77777777" w:rsidR="00A66DDF" w:rsidRDefault="00000000">
      <w:pPr>
        <w:spacing w:line="360" w:lineRule="auto"/>
        <w:ind w:firstLine="420"/>
        <w:rPr>
          <w:rFonts w:asciiTheme="minorEastAsia" w:eastAsiaTheme="minorEastAsia" w:hAnsiTheme="minorEastAsia" w:hint="eastAsia"/>
          <w:b/>
          <w:sz w:val="28"/>
          <w:szCs w:val="28"/>
        </w:rPr>
      </w:pPr>
      <w:r>
        <w:rPr>
          <w:rFonts w:asciiTheme="minorEastAsia" w:eastAsiaTheme="minorEastAsia" w:hAnsiTheme="minorEastAsia" w:hint="eastAsia"/>
          <w:b/>
          <w:sz w:val="28"/>
          <w:szCs w:val="28"/>
        </w:rPr>
        <w:t>4. 世界银行大幅下调全球经济增长预期</w:t>
      </w:r>
    </w:p>
    <w:p w14:paraId="37785A85" w14:textId="77777777" w:rsidR="00A66DDF" w:rsidRDefault="00000000">
      <w:pPr>
        <w:widowControl/>
        <w:jc w:val="left"/>
        <w:rPr>
          <w:rFonts w:asciiTheme="minorEastAsia" w:eastAsiaTheme="minorEastAsia" w:hAnsiTheme="minorEastAsia" w:hint="eastAsia"/>
          <w:bCs/>
          <w:sz w:val="28"/>
          <w:szCs w:val="28"/>
        </w:rPr>
      </w:pPr>
      <w:r>
        <w:rPr>
          <w:rFonts w:asciiTheme="minorEastAsia" w:eastAsiaTheme="minorEastAsia" w:hAnsiTheme="minorEastAsia" w:hint="eastAsia"/>
          <w:bCs/>
          <w:sz w:val="28"/>
          <w:szCs w:val="28"/>
        </w:rPr>
        <w:t>世界银行发布最新《全球经济展望》报告，将2025年全球经济增长预期从1月预测的2.7%下调至2.3%。这一增速仅优于2009年金融危机和2020年疫情衰退时期，预示</w:t>
      </w:r>
      <w:proofErr w:type="gramStart"/>
      <w:r>
        <w:rPr>
          <w:rFonts w:asciiTheme="minorEastAsia" w:eastAsiaTheme="minorEastAsia" w:hAnsiTheme="minorEastAsia" w:hint="eastAsia"/>
          <w:bCs/>
          <w:sz w:val="28"/>
          <w:szCs w:val="28"/>
        </w:rPr>
        <w:t>2020</w:t>
      </w:r>
      <w:proofErr w:type="gramEnd"/>
      <w:r>
        <w:rPr>
          <w:rFonts w:asciiTheme="minorEastAsia" w:eastAsiaTheme="minorEastAsia" w:hAnsiTheme="minorEastAsia" w:hint="eastAsia"/>
          <w:bCs/>
          <w:sz w:val="28"/>
          <w:szCs w:val="28"/>
        </w:rPr>
        <w:t>年代可能成为自上世纪60年代以来经济表现最差的十年。报告显示，该机构下调了近70%国家的增长预期，其中美国今年增速预期下调0.9个百分点至1.4%，欧元区和日本分别下调至0.7%。有经济学家认为，</w:t>
      </w:r>
      <w:r>
        <w:rPr>
          <w:rFonts w:ascii="Microsoft YaHei UI" w:eastAsia="Microsoft YaHei UI" w:hAnsi="Microsoft YaHei UI" w:cs="Microsoft YaHei UI" w:hint="eastAsia"/>
          <w:spacing w:val="15"/>
          <w:kern w:val="0"/>
          <w:sz w:val="24"/>
          <w:szCs w:val="24"/>
          <w:lang w:bidi="ar"/>
        </w:rPr>
        <w:t>当前国际贸易体系动荡正动摇二战后减少贫困的政策共识，若不及时调整，民众生活水平将受严重影响。报告同时提出，若能缓解贸易摩擦、控制债务并聚焦就业创造，全球经济前景有望改善。</w:t>
      </w:r>
    </w:p>
    <w:p w14:paraId="2BA90344" w14:textId="77777777" w:rsidR="00A66DDF" w:rsidRDefault="00000000">
      <w:pPr>
        <w:spacing w:line="360" w:lineRule="auto"/>
        <w:ind w:firstLine="420"/>
        <w:rPr>
          <w:rFonts w:asciiTheme="minorEastAsia" w:eastAsiaTheme="minorEastAsia" w:hAnsiTheme="minorEastAsia" w:hint="eastAsia"/>
          <w:b/>
          <w:sz w:val="28"/>
          <w:szCs w:val="28"/>
        </w:rPr>
      </w:pPr>
      <w:r>
        <w:rPr>
          <w:rFonts w:asciiTheme="minorEastAsia" w:eastAsiaTheme="minorEastAsia" w:hAnsiTheme="minorEastAsia" w:hint="eastAsia"/>
          <w:b/>
          <w:sz w:val="28"/>
          <w:szCs w:val="28"/>
        </w:rPr>
        <w:t>5、浙江17部门发文支持游戏出海</w:t>
      </w:r>
    </w:p>
    <w:p w14:paraId="31F75F32" w14:textId="5621FD64" w:rsidR="00A66DDF" w:rsidRDefault="00000000">
      <w:pPr>
        <w:spacing w:line="360" w:lineRule="auto"/>
        <w:ind w:firstLineChars="200" w:firstLine="560"/>
        <w:rPr>
          <w:rFonts w:asciiTheme="minorEastAsia" w:eastAsiaTheme="minorEastAsia" w:hAnsiTheme="minorEastAsia"/>
          <w:bCs/>
          <w:sz w:val="28"/>
          <w:szCs w:val="28"/>
        </w:rPr>
      </w:pPr>
      <w:r>
        <w:rPr>
          <w:rFonts w:asciiTheme="minorEastAsia" w:eastAsiaTheme="minorEastAsia" w:hAnsiTheme="minorEastAsia" w:hint="eastAsia"/>
          <w:bCs/>
          <w:sz w:val="28"/>
          <w:szCs w:val="28"/>
        </w:rPr>
        <w:lastRenderedPageBreak/>
        <w:t>浙江省商务厅等17部门印发《关于支持游戏出海的若干措施》。其中提到，积极培育游戏出海市场主体。实施数字文化企业梯度培育计划，储备一批、培育一批、提升一批游戏企业，支持游戏企业做大做强和国际化发展。首先是推动游戏产业能级提升。措施强调，鼓励研发创作精品游戏、打造自主文化IP，高质量推进重点游戏作品创作生产。其次是强化游戏出海平台支撑。措施指出，要更好发挥全球数字贸易博览会作用，支持企业参加海外重点游戏展会，提升企业在国内游戏展会的影响力。此外，措施提及要完善游戏出海生态服务，以及强化游戏出海要素保障。结合当下各方观点，当下游戏出海已是大势所趋。有分析认为，游戏利好政策信号不断释放，不仅彰</w:t>
      </w:r>
      <w:proofErr w:type="gramStart"/>
      <w:r>
        <w:rPr>
          <w:rFonts w:asciiTheme="minorEastAsia" w:eastAsiaTheme="minorEastAsia" w:hAnsiTheme="minorEastAsia" w:hint="eastAsia"/>
          <w:bCs/>
          <w:sz w:val="28"/>
          <w:szCs w:val="28"/>
        </w:rPr>
        <w:t>显国家</w:t>
      </w:r>
      <w:proofErr w:type="gramEnd"/>
      <w:r>
        <w:rPr>
          <w:rFonts w:asciiTheme="minorEastAsia" w:eastAsiaTheme="minorEastAsia" w:hAnsiTheme="minorEastAsia" w:hint="eastAsia"/>
          <w:bCs/>
          <w:sz w:val="28"/>
          <w:szCs w:val="28"/>
        </w:rPr>
        <w:t>对游戏产业的战略重视，也预示着中国游戏全球化征途的加速升级。政策端利好频出，看好后续游戏行业在产品开发、出海等方面的发展趋势。</w:t>
      </w:r>
    </w:p>
    <w:p w14:paraId="12AE97D0" w14:textId="77777777" w:rsidR="00673762" w:rsidRDefault="00673762">
      <w:pPr>
        <w:spacing w:line="360" w:lineRule="auto"/>
        <w:ind w:firstLineChars="200" w:firstLine="560"/>
        <w:rPr>
          <w:rFonts w:asciiTheme="minorEastAsia" w:eastAsiaTheme="minorEastAsia" w:hAnsiTheme="minorEastAsia"/>
          <w:bCs/>
          <w:sz w:val="28"/>
          <w:szCs w:val="28"/>
        </w:rPr>
      </w:pPr>
    </w:p>
    <w:p w14:paraId="366E65E4" w14:textId="659F004D" w:rsidR="00673762" w:rsidRDefault="00673762">
      <w:pPr>
        <w:spacing w:line="360" w:lineRule="auto"/>
        <w:ind w:firstLineChars="200" w:firstLine="560"/>
        <w:rPr>
          <w:rFonts w:asciiTheme="minorEastAsia" w:eastAsiaTheme="minorEastAsia" w:hAnsiTheme="minorEastAsia"/>
          <w:bCs/>
          <w:sz w:val="28"/>
          <w:szCs w:val="28"/>
        </w:rPr>
      </w:pPr>
      <w:r>
        <w:rPr>
          <w:rFonts w:asciiTheme="minorEastAsia" w:eastAsiaTheme="minorEastAsia" w:hAnsiTheme="minorEastAsia" w:hint="eastAsia"/>
          <w:bCs/>
          <w:sz w:val="28"/>
          <w:szCs w:val="28"/>
        </w:rPr>
        <w:t>三、建议</w:t>
      </w:r>
    </w:p>
    <w:p w14:paraId="42064C67" w14:textId="352F8066" w:rsidR="00673762" w:rsidRDefault="00673762">
      <w:pPr>
        <w:spacing w:line="360" w:lineRule="auto"/>
        <w:ind w:firstLineChars="200" w:firstLine="560"/>
        <w:rPr>
          <w:rFonts w:asciiTheme="minorEastAsia" w:eastAsiaTheme="minorEastAsia" w:hAnsiTheme="minorEastAsia" w:hint="eastAsia"/>
          <w:bCs/>
          <w:sz w:val="28"/>
          <w:szCs w:val="28"/>
        </w:rPr>
      </w:pPr>
      <w:r w:rsidRPr="00673762">
        <w:rPr>
          <w:rFonts w:asciiTheme="minorEastAsia" w:eastAsiaTheme="minorEastAsia" w:hAnsiTheme="minorEastAsia" w:hint="eastAsia"/>
          <w:bCs/>
          <w:sz w:val="28"/>
          <w:szCs w:val="28"/>
        </w:rPr>
        <w:t>市场结构性矛盾</w:t>
      </w:r>
      <w:r>
        <w:rPr>
          <w:rFonts w:asciiTheme="minorEastAsia" w:eastAsiaTheme="minorEastAsia" w:hAnsiTheme="minorEastAsia" w:hint="eastAsia"/>
          <w:bCs/>
          <w:sz w:val="28"/>
          <w:szCs w:val="28"/>
        </w:rPr>
        <w:t>持续</w:t>
      </w:r>
      <w:r w:rsidRPr="00673762">
        <w:rPr>
          <w:rFonts w:asciiTheme="minorEastAsia" w:eastAsiaTheme="minorEastAsia" w:hAnsiTheme="minorEastAsia" w:hint="eastAsia"/>
          <w:bCs/>
          <w:sz w:val="28"/>
          <w:szCs w:val="28"/>
        </w:rPr>
        <w:t>凸显，短期或延续震荡</w:t>
      </w:r>
      <w:r>
        <w:rPr>
          <w:rFonts w:asciiTheme="minorEastAsia" w:eastAsiaTheme="minorEastAsia" w:hAnsiTheme="minorEastAsia" w:hint="eastAsia"/>
          <w:bCs/>
          <w:sz w:val="28"/>
          <w:szCs w:val="28"/>
        </w:rPr>
        <w:t>，</w:t>
      </w:r>
      <w:r w:rsidRPr="00673762">
        <w:rPr>
          <w:rFonts w:asciiTheme="minorEastAsia" w:eastAsiaTheme="minorEastAsia" w:hAnsiTheme="minorEastAsia" w:hint="eastAsia"/>
          <w:bCs/>
          <w:sz w:val="28"/>
          <w:szCs w:val="28"/>
        </w:rPr>
        <w:t>资金或从高估值科技流向医药/黄金等防御板块，及政策受益的并购重组概念</w:t>
      </w:r>
    </w:p>
    <w:sectPr w:rsidR="0067376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58FA7" w14:textId="77777777" w:rsidR="00983D43" w:rsidRDefault="00983D43">
      <w:r>
        <w:separator/>
      </w:r>
    </w:p>
  </w:endnote>
  <w:endnote w:type="continuationSeparator" w:id="0">
    <w:p w14:paraId="5A181C4E" w14:textId="77777777" w:rsidR="00983D43" w:rsidRDefault="00983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379894"/>
      <w:docPartObj>
        <w:docPartGallery w:val="AutoText"/>
      </w:docPartObj>
    </w:sdtPr>
    <w:sdtContent>
      <w:sdt>
        <w:sdtPr>
          <w:id w:val="1728636285"/>
          <w:docPartObj>
            <w:docPartGallery w:val="AutoText"/>
          </w:docPartObj>
        </w:sdtPr>
        <w:sdtContent>
          <w:p w14:paraId="7B228ADB" w14:textId="77777777" w:rsidR="00A66DDF" w:rsidRDefault="00000000">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5</w:t>
            </w:r>
            <w:r>
              <w:rPr>
                <w:b/>
                <w:bCs/>
                <w:sz w:val="24"/>
                <w:szCs w:val="24"/>
              </w:rPr>
              <w:fldChar w:fldCharType="end"/>
            </w:r>
          </w:p>
        </w:sdtContent>
      </w:sdt>
    </w:sdtContent>
  </w:sdt>
  <w:p w14:paraId="7735EDB0" w14:textId="77777777" w:rsidR="00A66DDF" w:rsidRDefault="00A66DD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548DA" w14:textId="77777777" w:rsidR="00983D43" w:rsidRDefault="00983D43">
      <w:r>
        <w:separator/>
      </w:r>
    </w:p>
  </w:footnote>
  <w:footnote w:type="continuationSeparator" w:id="0">
    <w:p w14:paraId="70858EB0" w14:textId="77777777" w:rsidR="00983D43" w:rsidRDefault="00983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FE8ECD"/>
    <w:multiLevelType w:val="singleLevel"/>
    <w:tmpl w:val="C0FE8ECD"/>
    <w:lvl w:ilvl="0">
      <w:start w:val="1"/>
      <w:numFmt w:val="decimal"/>
      <w:suff w:val="space"/>
      <w:lvlText w:val="%1."/>
      <w:lvlJc w:val="left"/>
    </w:lvl>
  </w:abstractNum>
  <w:abstractNum w:abstractNumId="1" w15:restartNumberingAfterBreak="0">
    <w:nsid w:val="00000003"/>
    <w:multiLevelType w:val="multilevel"/>
    <w:tmpl w:val="00000003"/>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79118579">
    <w:abstractNumId w:val="1"/>
  </w:num>
  <w:num w:numId="2" w16cid:durableId="1760448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9AB"/>
    <w:rsid w:val="00002C09"/>
    <w:rsid w:val="00003EA6"/>
    <w:rsid w:val="000060A7"/>
    <w:rsid w:val="0001102D"/>
    <w:rsid w:val="00012DB0"/>
    <w:rsid w:val="0002229F"/>
    <w:rsid w:val="00023D89"/>
    <w:rsid w:val="00026F4B"/>
    <w:rsid w:val="00034206"/>
    <w:rsid w:val="00073FCF"/>
    <w:rsid w:val="00091A57"/>
    <w:rsid w:val="0009356D"/>
    <w:rsid w:val="00093A88"/>
    <w:rsid w:val="000A6D8F"/>
    <w:rsid w:val="000B348A"/>
    <w:rsid w:val="000B5C5C"/>
    <w:rsid w:val="000C03AC"/>
    <w:rsid w:val="000C4B31"/>
    <w:rsid w:val="000D2DBD"/>
    <w:rsid w:val="000D66AA"/>
    <w:rsid w:val="000E2B01"/>
    <w:rsid w:val="000E2E92"/>
    <w:rsid w:val="001052E0"/>
    <w:rsid w:val="00111C3A"/>
    <w:rsid w:val="00112AC9"/>
    <w:rsid w:val="00126464"/>
    <w:rsid w:val="00127763"/>
    <w:rsid w:val="00134A4C"/>
    <w:rsid w:val="00135846"/>
    <w:rsid w:val="00135898"/>
    <w:rsid w:val="00136271"/>
    <w:rsid w:val="00141885"/>
    <w:rsid w:val="00174EED"/>
    <w:rsid w:val="001B6FDB"/>
    <w:rsid w:val="001C3047"/>
    <w:rsid w:val="001E1552"/>
    <w:rsid w:val="001E3A25"/>
    <w:rsid w:val="001F27E7"/>
    <w:rsid w:val="001F6C8E"/>
    <w:rsid w:val="00203F6A"/>
    <w:rsid w:val="00204F4E"/>
    <w:rsid w:val="0021037F"/>
    <w:rsid w:val="00215842"/>
    <w:rsid w:val="002211A1"/>
    <w:rsid w:val="002324A2"/>
    <w:rsid w:val="002564FF"/>
    <w:rsid w:val="002566B9"/>
    <w:rsid w:val="00256C8B"/>
    <w:rsid w:val="002610E0"/>
    <w:rsid w:val="002648F2"/>
    <w:rsid w:val="00272F5A"/>
    <w:rsid w:val="00273351"/>
    <w:rsid w:val="00277763"/>
    <w:rsid w:val="002914FD"/>
    <w:rsid w:val="002A5CBC"/>
    <w:rsid w:val="002B5CCA"/>
    <w:rsid w:val="002D49F4"/>
    <w:rsid w:val="002F243E"/>
    <w:rsid w:val="00310919"/>
    <w:rsid w:val="003123A6"/>
    <w:rsid w:val="00324E78"/>
    <w:rsid w:val="00327E01"/>
    <w:rsid w:val="00334CAF"/>
    <w:rsid w:val="00342A12"/>
    <w:rsid w:val="00346F58"/>
    <w:rsid w:val="00380DDB"/>
    <w:rsid w:val="00382AA3"/>
    <w:rsid w:val="00387663"/>
    <w:rsid w:val="00392110"/>
    <w:rsid w:val="003A0844"/>
    <w:rsid w:val="003B0B67"/>
    <w:rsid w:val="003B3811"/>
    <w:rsid w:val="003B42BE"/>
    <w:rsid w:val="003D2DC5"/>
    <w:rsid w:val="003D400B"/>
    <w:rsid w:val="003D610F"/>
    <w:rsid w:val="003D78D2"/>
    <w:rsid w:val="00405343"/>
    <w:rsid w:val="0041012E"/>
    <w:rsid w:val="00417C9E"/>
    <w:rsid w:val="00433085"/>
    <w:rsid w:val="00433A4A"/>
    <w:rsid w:val="00434C42"/>
    <w:rsid w:val="00437393"/>
    <w:rsid w:val="00440B13"/>
    <w:rsid w:val="00444269"/>
    <w:rsid w:val="0045243D"/>
    <w:rsid w:val="00464B39"/>
    <w:rsid w:val="004752E3"/>
    <w:rsid w:val="004800A2"/>
    <w:rsid w:val="00480743"/>
    <w:rsid w:val="004833A1"/>
    <w:rsid w:val="00486C7F"/>
    <w:rsid w:val="004879FB"/>
    <w:rsid w:val="004962F5"/>
    <w:rsid w:val="004A601E"/>
    <w:rsid w:val="004A6474"/>
    <w:rsid w:val="004B7B78"/>
    <w:rsid w:val="004C5D17"/>
    <w:rsid w:val="004C6F4A"/>
    <w:rsid w:val="004D3666"/>
    <w:rsid w:val="004D4C8E"/>
    <w:rsid w:val="004D5F3C"/>
    <w:rsid w:val="004E7A2C"/>
    <w:rsid w:val="004F36CD"/>
    <w:rsid w:val="004F3BA9"/>
    <w:rsid w:val="00502323"/>
    <w:rsid w:val="0050408A"/>
    <w:rsid w:val="00504305"/>
    <w:rsid w:val="00504C60"/>
    <w:rsid w:val="0050548C"/>
    <w:rsid w:val="00516724"/>
    <w:rsid w:val="005169AA"/>
    <w:rsid w:val="00521596"/>
    <w:rsid w:val="005315FB"/>
    <w:rsid w:val="00536EBD"/>
    <w:rsid w:val="00545E59"/>
    <w:rsid w:val="00555B04"/>
    <w:rsid w:val="00564748"/>
    <w:rsid w:val="0057151F"/>
    <w:rsid w:val="00576DB0"/>
    <w:rsid w:val="005821BF"/>
    <w:rsid w:val="00587EFA"/>
    <w:rsid w:val="00590B53"/>
    <w:rsid w:val="005939DC"/>
    <w:rsid w:val="00597C2B"/>
    <w:rsid w:val="005B52B8"/>
    <w:rsid w:val="005B6512"/>
    <w:rsid w:val="005D6841"/>
    <w:rsid w:val="005E2BC9"/>
    <w:rsid w:val="005E5429"/>
    <w:rsid w:val="005F1C61"/>
    <w:rsid w:val="005F37BC"/>
    <w:rsid w:val="00613563"/>
    <w:rsid w:val="00625F99"/>
    <w:rsid w:val="00633498"/>
    <w:rsid w:val="00637C69"/>
    <w:rsid w:val="00637EB8"/>
    <w:rsid w:val="006451A3"/>
    <w:rsid w:val="006471AE"/>
    <w:rsid w:val="00655D3A"/>
    <w:rsid w:val="0065650E"/>
    <w:rsid w:val="00661C6F"/>
    <w:rsid w:val="00671515"/>
    <w:rsid w:val="00673762"/>
    <w:rsid w:val="00686AB4"/>
    <w:rsid w:val="0069353F"/>
    <w:rsid w:val="006A0D25"/>
    <w:rsid w:val="006B50AB"/>
    <w:rsid w:val="006C0653"/>
    <w:rsid w:val="006C4DD0"/>
    <w:rsid w:val="006E0B06"/>
    <w:rsid w:val="006E1FF2"/>
    <w:rsid w:val="006F742D"/>
    <w:rsid w:val="0070589E"/>
    <w:rsid w:val="00706A62"/>
    <w:rsid w:val="0071481F"/>
    <w:rsid w:val="00724E7E"/>
    <w:rsid w:val="0072524D"/>
    <w:rsid w:val="007323E8"/>
    <w:rsid w:val="007468FE"/>
    <w:rsid w:val="007644BE"/>
    <w:rsid w:val="00774432"/>
    <w:rsid w:val="00776FED"/>
    <w:rsid w:val="00782765"/>
    <w:rsid w:val="00791D41"/>
    <w:rsid w:val="007A21B8"/>
    <w:rsid w:val="007C214C"/>
    <w:rsid w:val="007D423D"/>
    <w:rsid w:val="007E277F"/>
    <w:rsid w:val="007E73A6"/>
    <w:rsid w:val="007F177B"/>
    <w:rsid w:val="007F4141"/>
    <w:rsid w:val="00811837"/>
    <w:rsid w:val="00813C17"/>
    <w:rsid w:val="00831750"/>
    <w:rsid w:val="00832C26"/>
    <w:rsid w:val="008618E4"/>
    <w:rsid w:val="008662AC"/>
    <w:rsid w:val="00884DDD"/>
    <w:rsid w:val="0088724C"/>
    <w:rsid w:val="0089013A"/>
    <w:rsid w:val="00896AD5"/>
    <w:rsid w:val="008B4BCC"/>
    <w:rsid w:val="008C39D7"/>
    <w:rsid w:val="008E3E37"/>
    <w:rsid w:val="008F08B7"/>
    <w:rsid w:val="0090332C"/>
    <w:rsid w:val="00924400"/>
    <w:rsid w:val="00932674"/>
    <w:rsid w:val="00936DA1"/>
    <w:rsid w:val="009434EA"/>
    <w:rsid w:val="0094497A"/>
    <w:rsid w:val="009471E8"/>
    <w:rsid w:val="00953DE7"/>
    <w:rsid w:val="0095699D"/>
    <w:rsid w:val="00964D2C"/>
    <w:rsid w:val="00965427"/>
    <w:rsid w:val="00983D43"/>
    <w:rsid w:val="00987592"/>
    <w:rsid w:val="009A19A8"/>
    <w:rsid w:val="009A239B"/>
    <w:rsid w:val="009A2D75"/>
    <w:rsid w:val="009A464C"/>
    <w:rsid w:val="009A7CCB"/>
    <w:rsid w:val="009B79E3"/>
    <w:rsid w:val="009C081E"/>
    <w:rsid w:val="009E3532"/>
    <w:rsid w:val="009E3F87"/>
    <w:rsid w:val="009F7867"/>
    <w:rsid w:val="00A12C31"/>
    <w:rsid w:val="00A157CB"/>
    <w:rsid w:val="00A25491"/>
    <w:rsid w:val="00A261AF"/>
    <w:rsid w:val="00A4584A"/>
    <w:rsid w:val="00A5388B"/>
    <w:rsid w:val="00A6022D"/>
    <w:rsid w:val="00A625F5"/>
    <w:rsid w:val="00A6357D"/>
    <w:rsid w:val="00A66DDF"/>
    <w:rsid w:val="00A6710D"/>
    <w:rsid w:val="00A67AD9"/>
    <w:rsid w:val="00A717F1"/>
    <w:rsid w:val="00A7285C"/>
    <w:rsid w:val="00A72CBD"/>
    <w:rsid w:val="00A76AC7"/>
    <w:rsid w:val="00A80C51"/>
    <w:rsid w:val="00A85DE1"/>
    <w:rsid w:val="00A87276"/>
    <w:rsid w:val="00A878A7"/>
    <w:rsid w:val="00A97522"/>
    <w:rsid w:val="00AA2A01"/>
    <w:rsid w:val="00AB54CA"/>
    <w:rsid w:val="00AC3689"/>
    <w:rsid w:val="00AC439E"/>
    <w:rsid w:val="00AE0751"/>
    <w:rsid w:val="00AF34E6"/>
    <w:rsid w:val="00B03063"/>
    <w:rsid w:val="00B06994"/>
    <w:rsid w:val="00B1075D"/>
    <w:rsid w:val="00B12852"/>
    <w:rsid w:val="00B129DA"/>
    <w:rsid w:val="00B1302A"/>
    <w:rsid w:val="00B1414F"/>
    <w:rsid w:val="00B31D34"/>
    <w:rsid w:val="00B41514"/>
    <w:rsid w:val="00B42066"/>
    <w:rsid w:val="00B46011"/>
    <w:rsid w:val="00B530B7"/>
    <w:rsid w:val="00BA7A5A"/>
    <w:rsid w:val="00BC7F6B"/>
    <w:rsid w:val="00BD65C6"/>
    <w:rsid w:val="00BE181E"/>
    <w:rsid w:val="00BE5EC5"/>
    <w:rsid w:val="00BE662E"/>
    <w:rsid w:val="00BF311A"/>
    <w:rsid w:val="00C039BD"/>
    <w:rsid w:val="00C03AA0"/>
    <w:rsid w:val="00C04CAF"/>
    <w:rsid w:val="00C14C0D"/>
    <w:rsid w:val="00C23061"/>
    <w:rsid w:val="00C45737"/>
    <w:rsid w:val="00C470E8"/>
    <w:rsid w:val="00C52BFF"/>
    <w:rsid w:val="00C64BC6"/>
    <w:rsid w:val="00C730F0"/>
    <w:rsid w:val="00C747FB"/>
    <w:rsid w:val="00C81F7B"/>
    <w:rsid w:val="00C85F3D"/>
    <w:rsid w:val="00C91E33"/>
    <w:rsid w:val="00CA3DC0"/>
    <w:rsid w:val="00CB1C44"/>
    <w:rsid w:val="00CB30C8"/>
    <w:rsid w:val="00CC5B7D"/>
    <w:rsid w:val="00CC6881"/>
    <w:rsid w:val="00CD1831"/>
    <w:rsid w:val="00CD39AA"/>
    <w:rsid w:val="00CE72F6"/>
    <w:rsid w:val="00D00799"/>
    <w:rsid w:val="00D13627"/>
    <w:rsid w:val="00D14F0C"/>
    <w:rsid w:val="00D2287B"/>
    <w:rsid w:val="00D3453B"/>
    <w:rsid w:val="00D41901"/>
    <w:rsid w:val="00D439AB"/>
    <w:rsid w:val="00D54D1D"/>
    <w:rsid w:val="00D54E4B"/>
    <w:rsid w:val="00D60FCA"/>
    <w:rsid w:val="00D76B47"/>
    <w:rsid w:val="00D85A7A"/>
    <w:rsid w:val="00D91D8D"/>
    <w:rsid w:val="00DA0298"/>
    <w:rsid w:val="00DC5170"/>
    <w:rsid w:val="00DC7E8F"/>
    <w:rsid w:val="00DD3371"/>
    <w:rsid w:val="00DD394E"/>
    <w:rsid w:val="00DD4CF7"/>
    <w:rsid w:val="00DD7FF4"/>
    <w:rsid w:val="00DE123B"/>
    <w:rsid w:val="00DE44E9"/>
    <w:rsid w:val="00DE6975"/>
    <w:rsid w:val="00DE69E4"/>
    <w:rsid w:val="00E06775"/>
    <w:rsid w:val="00E10AA1"/>
    <w:rsid w:val="00E13441"/>
    <w:rsid w:val="00E17FF6"/>
    <w:rsid w:val="00E21FCC"/>
    <w:rsid w:val="00E37306"/>
    <w:rsid w:val="00E4003E"/>
    <w:rsid w:val="00E408B9"/>
    <w:rsid w:val="00E4193F"/>
    <w:rsid w:val="00E4286E"/>
    <w:rsid w:val="00E42AE2"/>
    <w:rsid w:val="00E45154"/>
    <w:rsid w:val="00E45C43"/>
    <w:rsid w:val="00E503B8"/>
    <w:rsid w:val="00E66C6B"/>
    <w:rsid w:val="00E70FA3"/>
    <w:rsid w:val="00E93656"/>
    <w:rsid w:val="00E97984"/>
    <w:rsid w:val="00EA37D7"/>
    <w:rsid w:val="00EB0D2F"/>
    <w:rsid w:val="00EB2424"/>
    <w:rsid w:val="00EB5B5B"/>
    <w:rsid w:val="00EB76CB"/>
    <w:rsid w:val="00EC0B1D"/>
    <w:rsid w:val="00EC27EA"/>
    <w:rsid w:val="00EC431A"/>
    <w:rsid w:val="00EC52BE"/>
    <w:rsid w:val="00ED4A55"/>
    <w:rsid w:val="00EE7B19"/>
    <w:rsid w:val="00EF1700"/>
    <w:rsid w:val="00EF4DAF"/>
    <w:rsid w:val="00F14798"/>
    <w:rsid w:val="00F16A14"/>
    <w:rsid w:val="00F21822"/>
    <w:rsid w:val="00F35E7C"/>
    <w:rsid w:val="00F50303"/>
    <w:rsid w:val="00F6089C"/>
    <w:rsid w:val="00F6288D"/>
    <w:rsid w:val="00F75AB5"/>
    <w:rsid w:val="00F831D5"/>
    <w:rsid w:val="00F85D12"/>
    <w:rsid w:val="00FA3D39"/>
    <w:rsid w:val="00FA727B"/>
    <w:rsid w:val="00FB2FC8"/>
    <w:rsid w:val="00FB5208"/>
    <w:rsid w:val="00FC5BB4"/>
    <w:rsid w:val="00FD7BDB"/>
    <w:rsid w:val="00FE4FE7"/>
    <w:rsid w:val="00FE5232"/>
    <w:rsid w:val="00FF0F14"/>
    <w:rsid w:val="1B317FD3"/>
    <w:rsid w:val="23886A2D"/>
    <w:rsid w:val="253B0B07"/>
    <w:rsid w:val="27522855"/>
    <w:rsid w:val="4F091D21"/>
    <w:rsid w:val="57671164"/>
    <w:rsid w:val="5BB034BD"/>
    <w:rsid w:val="7E293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5EBC32"/>
  <w15:docId w15:val="{4A5B8146-D64C-48CE-959A-5F27F9BD3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宋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 w:val="24"/>
      <w:szCs w:val="24"/>
    </w:rPr>
  </w:style>
  <w:style w:type="paragraph" w:styleId="a7">
    <w:name w:val="Normal (Web)"/>
    <w:basedOn w:val="a"/>
    <w:uiPriority w:val="99"/>
    <w:semiHidden/>
    <w:unhideWhenUsed/>
    <w:pPr>
      <w:spacing w:beforeAutospacing="1" w:afterAutospacing="1"/>
      <w:jc w:val="left"/>
    </w:pPr>
    <w:rPr>
      <w:rFonts w:cs="Times New Roman"/>
      <w:kern w:val="0"/>
      <w:sz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Hyperlink"/>
    <w:basedOn w:val="a0"/>
    <w:uiPriority w:val="99"/>
    <w:unhideWhenUsed/>
    <w:qFormat/>
    <w:rPr>
      <w:color w:val="0563C1" w:themeColor="hyperlink"/>
      <w:u w:val="single"/>
    </w:rPr>
  </w:style>
  <w:style w:type="paragraph" w:styleId="ab">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1">
    <w:name w:val="未处理的提及1"/>
    <w:basedOn w:val="a0"/>
    <w:uiPriority w:val="99"/>
    <w:semiHidden/>
    <w:unhideWhenUsed/>
    <w:qFormat/>
    <w:rPr>
      <w:color w:val="605E5C"/>
      <w:shd w:val="clear" w:color="auto" w:fill="E1DFDD"/>
    </w:rPr>
  </w:style>
  <w:style w:type="character" w:customStyle="1" w:styleId="20">
    <w:name w:val="标题 2 字符"/>
    <w:basedOn w:val="a0"/>
    <w:link w:val="2"/>
    <w:uiPriority w:val="9"/>
    <w:semiHidden/>
    <w:qFormat/>
    <w:rPr>
      <w:rFonts w:asciiTheme="majorHAnsi" w:eastAsiaTheme="majorEastAsia" w:hAnsiTheme="majorHAnsi" w:cstheme="majorBidi"/>
      <w:b/>
      <w:bCs/>
      <w:sz w:val="32"/>
      <w:szCs w:val="32"/>
    </w:rPr>
  </w:style>
  <w:style w:type="character" w:customStyle="1" w:styleId="10">
    <w:name w:val="标题 1 字符"/>
    <w:basedOn w:val="a0"/>
    <w:link w:val="1"/>
    <w:uiPriority w:val="9"/>
    <w:qFormat/>
    <w:rPr>
      <w:rFonts w:ascii="Calibri" w:eastAsia="宋体" w:hAnsi="Calibri" w:cs="宋体"/>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02FB8-8AC2-4E75-8E1B-075151EE2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328</Words>
  <Characters>1872</Characters>
  <Application>Microsoft Office Word</Application>
  <DocSecurity>0</DocSecurity>
  <Lines>15</Lines>
  <Paragraphs>4</Paragraphs>
  <ScaleCrop>false</ScaleCrop>
  <Company>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夏浩洋</dc:creator>
  <cp:lastModifiedBy>Xin Zhao</cp:lastModifiedBy>
  <cp:revision>46</cp:revision>
  <cp:lastPrinted>2025-01-20T02:50:00Z</cp:lastPrinted>
  <dcterms:created xsi:type="dcterms:W3CDTF">2025-05-20T07:33:00Z</dcterms:created>
  <dcterms:modified xsi:type="dcterms:W3CDTF">2025-06-11T08:20:00Z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eyJoZGlkIjoiY2NlZDM4NTQ0NTM3NWUyNjBmNDgxMGM1N2FiNmIzMTUifQ==</vt:lpwstr>
  </property>
  <property fmtid="{D5CDD505-2E9C-101B-9397-08002B2CF9AE}" pid="3" name="KSOProductBuildVer">
    <vt:lpwstr>2052-12.1.0.21171</vt:lpwstr>
  </property>
  <property fmtid="{D5CDD505-2E9C-101B-9397-08002B2CF9AE}" pid="4" name="ICV">
    <vt:lpwstr>2E3AD88E37054FC68D032D6386978F12_12</vt:lpwstr>
  </property>
</Properties>
</file>