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A1510" w14:textId="77777777" w:rsidR="00337185" w:rsidRDefault="00000000">
      <w:pPr>
        <w:jc w:val="center"/>
        <w:rPr>
          <w:rFonts w:ascii="宋体" w:eastAsia="宋体" w:hAnsi="宋体" w:hint="eastAsia"/>
          <w:b/>
          <w:bCs/>
          <w:sz w:val="32"/>
          <w:szCs w:val="32"/>
        </w:rPr>
      </w:pPr>
      <w:r>
        <w:rPr>
          <w:rFonts w:ascii="宋体" w:eastAsia="宋体" w:hAnsi="宋体" w:hint="eastAsia"/>
          <w:b/>
          <w:bCs/>
          <w:sz w:val="32"/>
          <w:szCs w:val="32"/>
        </w:rPr>
        <w:t>6月24日行情复盘及市场要点</w:t>
      </w:r>
    </w:p>
    <w:p w14:paraId="1996E513" w14:textId="77777777" w:rsidR="00337185" w:rsidRDefault="00000000">
      <w:pPr>
        <w:pStyle w:val="af"/>
        <w:numPr>
          <w:ilvl w:val="0"/>
          <w:numId w:val="1"/>
        </w:numPr>
        <w:rPr>
          <w:rFonts w:ascii="宋体" w:eastAsia="宋体" w:hAnsi="宋体" w:hint="eastAsia"/>
          <w:b/>
          <w:bCs/>
          <w:sz w:val="28"/>
          <w:szCs w:val="28"/>
        </w:rPr>
      </w:pPr>
      <w:r>
        <w:rPr>
          <w:rFonts w:ascii="宋体" w:eastAsia="宋体" w:hAnsi="宋体" w:hint="eastAsia"/>
          <w:b/>
          <w:bCs/>
          <w:sz w:val="28"/>
          <w:szCs w:val="28"/>
        </w:rPr>
        <w:t>行情复盘</w:t>
      </w:r>
    </w:p>
    <w:p w14:paraId="4CDED0B6" w14:textId="126D520E" w:rsidR="00337185" w:rsidRPr="00C70AF9" w:rsidRDefault="00000000">
      <w:pPr>
        <w:ind w:firstLineChars="200" w:firstLine="560"/>
        <w:rPr>
          <w:rFonts w:ascii="宋体" w:eastAsia="宋体" w:hAnsi="宋体" w:hint="eastAsia"/>
          <w:sz w:val="28"/>
          <w:szCs w:val="28"/>
        </w:rPr>
      </w:pPr>
      <w:r w:rsidRPr="00C70AF9">
        <w:rPr>
          <w:rFonts w:ascii="宋体" w:eastAsia="宋体" w:hAnsi="宋体" w:hint="eastAsia"/>
          <w:sz w:val="28"/>
          <w:szCs w:val="28"/>
        </w:rPr>
        <w:t>2</w:t>
      </w:r>
      <w:r w:rsidRPr="00C70AF9">
        <w:rPr>
          <w:rFonts w:ascii="宋体" w:eastAsia="宋体" w:hAnsi="宋体"/>
          <w:sz w:val="28"/>
          <w:szCs w:val="28"/>
        </w:rPr>
        <w:t>025年6月2</w:t>
      </w:r>
      <w:r w:rsidR="005645CF" w:rsidRPr="00C70AF9">
        <w:rPr>
          <w:rFonts w:ascii="宋体" w:eastAsia="宋体" w:hAnsi="宋体" w:hint="eastAsia"/>
          <w:sz w:val="28"/>
          <w:szCs w:val="28"/>
        </w:rPr>
        <w:t>4</w:t>
      </w:r>
      <w:r w:rsidRPr="00C70AF9">
        <w:rPr>
          <w:rFonts w:ascii="宋体" w:eastAsia="宋体" w:hAnsi="宋体"/>
          <w:sz w:val="28"/>
          <w:szCs w:val="28"/>
        </w:rPr>
        <w:t>日，A股市场整体</w:t>
      </w:r>
      <w:r w:rsidRPr="00C70AF9">
        <w:rPr>
          <w:rFonts w:ascii="宋体" w:eastAsia="宋体" w:hAnsi="宋体" w:hint="eastAsia"/>
          <w:sz w:val="28"/>
          <w:szCs w:val="28"/>
        </w:rPr>
        <w:t>走强</w:t>
      </w:r>
      <w:r w:rsidRPr="00C70AF9">
        <w:rPr>
          <w:rFonts w:ascii="宋体" w:eastAsia="宋体" w:hAnsi="宋体"/>
          <w:sz w:val="28"/>
          <w:szCs w:val="28"/>
        </w:rPr>
        <w:t>，三大指数均有所</w:t>
      </w:r>
      <w:r w:rsidRPr="00C70AF9">
        <w:rPr>
          <w:rFonts w:ascii="宋体" w:eastAsia="宋体" w:hAnsi="宋体" w:hint="eastAsia"/>
          <w:sz w:val="28"/>
          <w:szCs w:val="28"/>
        </w:rPr>
        <w:t>上涨</w:t>
      </w:r>
      <w:r w:rsidRPr="00C70AF9">
        <w:rPr>
          <w:rFonts w:ascii="宋体" w:eastAsia="宋体" w:hAnsi="宋体"/>
          <w:sz w:val="28"/>
          <w:szCs w:val="28"/>
        </w:rPr>
        <w:t>，沪指</w:t>
      </w:r>
      <w:r w:rsidRPr="00C70AF9">
        <w:rPr>
          <w:rFonts w:ascii="宋体" w:eastAsia="宋体" w:hAnsi="宋体" w:hint="eastAsia"/>
          <w:sz w:val="28"/>
          <w:szCs w:val="28"/>
        </w:rPr>
        <w:t>涨</w:t>
      </w:r>
      <w:r w:rsidR="005645CF" w:rsidRPr="00C70AF9">
        <w:rPr>
          <w:rFonts w:ascii="宋体" w:eastAsia="宋体" w:hAnsi="宋体" w:hint="eastAsia"/>
          <w:sz w:val="28"/>
          <w:szCs w:val="28"/>
        </w:rPr>
        <w:t>1.15</w:t>
      </w:r>
      <w:r w:rsidRPr="00C70AF9">
        <w:rPr>
          <w:rFonts w:ascii="宋体" w:eastAsia="宋体" w:hAnsi="宋体"/>
          <w:sz w:val="28"/>
          <w:szCs w:val="28"/>
        </w:rPr>
        <w:t>%，报</w:t>
      </w:r>
      <w:r w:rsidR="005645CF" w:rsidRPr="00C70AF9">
        <w:rPr>
          <w:rFonts w:ascii="宋体" w:eastAsia="宋体" w:hAnsi="宋体" w:hint="eastAsia"/>
          <w:sz w:val="28"/>
          <w:szCs w:val="28"/>
        </w:rPr>
        <w:t>3420.57</w:t>
      </w:r>
      <w:r w:rsidRPr="00C70AF9">
        <w:rPr>
          <w:rFonts w:ascii="宋体" w:eastAsia="宋体" w:hAnsi="宋体"/>
          <w:sz w:val="28"/>
          <w:szCs w:val="28"/>
        </w:rPr>
        <w:t>点；深成指</w:t>
      </w:r>
      <w:r w:rsidRPr="00C70AF9">
        <w:rPr>
          <w:rFonts w:ascii="宋体" w:eastAsia="宋体" w:hAnsi="宋体" w:hint="eastAsia"/>
          <w:sz w:val="28"/>
          <w:szCs w:val="28"/>
        </w:rPr>
        <w:t>上涨</w:t>
      </w:r>
      <w:r w:rsidR="005645CF" w:rsidRPr="00C70AF9">
        <w:rPr>
          <w:rFonts w:ascii="宋体" w:eastAsia="宋体" w:hAnsi="宋体" w:hint="eastAsia"/>
          <w:sz w:val="28"/>
          <w:szCs w:val="28"/>
        </w:rPr>
        <w:t>1.68</w:t>
      </w:r>
      <w:r w:rsidRPr="00C70AF9">
        <w:rPr>
          <w:rFonts w:ascii="宋体" w:eastAsia="宋体" w:hAnsi="宋体" w:hint="eastAsia"/>
          <w:sz w:val="28"/>
          <w:szCs w:val="28"/>
        </w:rPr>
        <w:t>%</w:t>
      </w:r>
      <w:r w:rsidRPr="00C70AF9">
        <w:rPr>
          <w:rFonts w:ascii="宋体" w:eastAsia="宋体" w:hAnsi="宋体"/>
          <w:sz w:val="28"/>
          <w:szCs w:val="28"/>
        </w:rPr>
        <w:t>，报</w:t>
      </w:r>
      <w:r w:rsidR="005645CF" w:rsidRPr="00C70AF9">
        <w:rPr>
          <w:rFonts w:ascii="宋体" w:eastAsia="宋体" w:hAnsi="宋体" w:hint="eastAsia"/>
          <w:sz w:val="28"/>
          <w:szCs w:val="28"/>
        </w:rPr>
        <w:t>10217.63</w:t>
      </w:r>
      <w:r w:rsidRPr="00C70AF9">
        <w:rPr>
          <w:rFonts w:ascii="宋体" w:eastAsia="宋体" w:hAnsi="宋体"/>
          <w:sz w:val="28"/>
          <w:szCs w:val="28"/>
        </w:rPr>
        <w:t>点；创业板指</w:t>
      </w:r>
      <w:r w:rsidRPr="00C70AF9">
        <w:rPr>
          <w:rFonts w:ascii="宋体" w:eastAsia="宋体" w:hAnsi="宋体" w:hint="eastAsia"/>
          <w:sz w:val="28"/>
          <w:szCs w:val="28"/>
        </w:rPr>
        <w:t>涨</w:t>
      </w:r>
      <w:r w:rsidR="005645CF" w:rsidRPr="00C70AF9">
        <w:rPr>
          <w:rFonts w:ascii="宋体" w:eastAsia="宋体" w:hAnsi="宋体" w:hint="eastAsia"/>
          <w:sz w:val="28"/>
          <w:szCs w:val="28"/>
        </w:rPr>
        <w:t>2.30</w:t>
      </w:r>
      <w:r w:rsidRPr="00C70AF9">
        <w:rPr>
          <w:rFonts w:ascii="宋体" w:eastAsia="宋体" w:hAnsi="宋体"/>
          <w:sz w:val="28"/>
          <w:szCs w:val="28"/>
        </w:rPr>
        <w:t>%，报</w:t>
      </w:r>
      <w:r w:rsidR="005645CF" w:rsidRPr="00C70AF9">
        <w:rPr>
          <w:rFonts w:ascii="宋体" w:eastAsia="宋体" w:hAnsi="宋体" w:hint="eastAsia"/>
          <w:sz w:val="28"/>
          <w:szCs w:val="28"/>
        </w:rPr>
        <w:t>2064.13</w:t>
      </w:r>
      <w:r w:rsidRPr="00C70AF9">
        <w:rPr>
          <w:rFonts w:ascii="宋体" w:eastAsia="宋体" w:hAnsi="宋体"/>
          <w:sz w:val="28"/>
          <w:szCs w:val="28"/>
        </w:rPr>
        <w:t>点。全A上涨个股</w:t>
      </w:r>
      <w:r w:rsidR="00FA235F" w:rsidRPr="00C70AF9">
        <w:rPr>
          <w:rFonts w:ascii="宋体" w:eastAsia="宋体" w:hAnsi="宋体" w:hint="eastAsia"/>
          <w:sz w:val="28"/>
          <w:szCs w:val="28"/>
        </w:rPr>
        <w:t>4767</w:t>
      </w:r>
      <w:r w:rsidRPr="00C70AF9">
        <w:rPr>
          <w:rFonts w:ascii="宋体" w:eastAsia="宋体" w:hAnsi="宋体"/>
          <w:sz w:val="28"/>
          <w:szCs w:val="28"/>
        </w:rPr>
        <w:t>只，下跌个股</w:t>
      </w:r>
      <w:r w:rsidR="00FA235F" w:rsidRPr="00C70AF9">
        <w:rPr>
          <w:rFonts w:ascii="宋体" w:eastAsia="宋体" w:hAnsi="宋体" w:hint="eastAsia"/>
          <w:sz w:val="28"/>
          <w:szCs w:val="28"/>
        </w:rPr>
        <w:t>578</w:t>
      </w:r>
      <w:r w:rsidRPr="00C70AF9">
        <w:rPr>
          <w:rFonts w:ascii="宋体" w:eastAsia="宋体" w:hAnsi="宋体"/>
          <w:sz w:val="28"/>
          <w:szCs w:val="28"/>
        </w:rPr>
        <w:t>只，</w:t>
      </w:r>
      <w:r w:rsidRPr="00C70AF9">
        <w:rPr>
          <w:rFonts w:ascii="宋体" w:eastAsia="宋体" w:hAnsi="宋体" w:hint="eastAsia"/>
          <w:sz w:val="28"/>
          <w:szCs w:val="28"/>
        </w:rPr>
        <w:t>平盘</w:t>
      </w:r>
      <w:r w:rsidR="00FA235F" w:rsidRPr="00C70AF9">
        <w:rPr>
          <w:rFonts w:ascii="宋体" w:eastAsia="宋体" w:hAnsi="宋体" w:hint="eastAsia"/>
          <w:sz w:val="28"/>
          <w:szCs w:val="28"/>
        </w:rPr>
        <w:t>71</w:t>
      </w:r>
      <w:r w:rsidRPr="00C70AF9">
        <w:rPr>
          <w:rFonts w:ascii="宋体" w:eastAsia="宋体" w:hAnsi="宋体" w:hint="eastAsia"/>
          <w:sz w:val="28"/>
          <w:szCs w:val="28"/>
        </w:rPr>
        <w:t>只。</w:t>
      </w:r>
      <w:r w:rsidRPr="00C70AF9">
        <w:rPr>
          <w:rFonts w:ascii="宋体" w:eastAsia="宋体" w:hAnsi="宋体"/>
          <w:sz w:val="28"/>
          <w:szCs w:val="28"/>
        </w:rPr>
        <w:t>A股当日总成交额为</w:t>
      </w:r>
      <w:r w:rsidR="00FA235F" w:rsidRPr="00C70AF9">
        <w:rPr>
          <w:rFonts w:ascii="宋体" w:eastAsia="宋体" w:hAnsi="宋体" w:hint="eastAsia"/>
          <w:sz w:val="28"/>
          <w:szCs w:val="28"/>
        </w:rPr>
        <w:t>14484</w:t>
      </w:r>
      <w:r w:rsidRPr="00C70AF9">
        <w:rPr>
          <w:rFonts w:ascii="宋体" w:eastAsia="宋体" w:hAnsi="宋体"/>
          <w:sz w:val="28"/>
          <w:szCs w:val="28"/>
        </w:rPr>
        <w:t>亿元，较上一交易日</w:t>
      </w:r>
      <w:r w:rsidRPr="00C70AF9">
        <w:rPr>
          <w:rFonts w:ascii="宋体" w:eastAsia="宋体" w:hAnsi="宋体" w:hint="eastAsia"/>
          <w:sz w:val="28"/>
          <w:szCs w:val="28"/>
        </w:rPr>
        <w:t>增</w:t>
      </w:r>
      <w:r w:rsidRPr="00C70AF9">
        <w:rPr>
          <w:rFonts w:ascii="宋体" w:eastAsia="宋体" w:hAnsi="宋体"/>
          <w:sz w:val="28"/>
          <w:szCs w:val="28"/>
        </w:rPr>
        <w:t>量</w:t>
      </w:r>
      <w:r w:rsidR="00FA235F" w:rsidRPr="00C70AF9">
        <w:rPr>
          <w:rFonts w:ascii="宋体" w:eastAsia="宋体" w:hAnsi="宋体" w:hint="eastAsia"/>
          <w:sz w:val="28"/>
          <w:szCs w:val="28"/>
        </w:rPr>
        <w:t>3013</w:t>
      </w:r>
      <w:r w:rsidRPr="00C70AF9">
        <w:rPr>
          <w:rFonts w:ascii="宋体" w:eastAsia="宋体" w:hAnsi="宋体"/>
          <w:sz w:val="28"/>
          <w:szCs w:val="28"/>
        </w:rPr>
        <w:t>亿元，市场</w:t>
      </w:r>
      <w:r w:rsidRPr="00C70AF9">
        <w:rPr>
          <w:rFonts w:ascii="宋体" w:eastAsia="宋体" w:hAnsi="宋体" w:hint="eastAsia"/>
          <w:sz w:val="28"/>
          <w:szCs w:val="28"/>
        </w:rPr>
        <w:t>交易</w:t>
      </w:r>
      <w:r w:rsidR="00FA235F" w:rsidRPr="00C70AF9">
        <w:rPr>
          <w:rFonts w:ascii="宋体" w:eastAsia="宋体" w:hAnsi="宋体" w:hint="eastAsia"/>
          <w:sz w:val="28"/>
          <w:szCs w:val="28"/>
        </w:rPr>
        <w:t>持续活跃</w:t>
      </w:r>
      <w:r w:rsidRPr="00C70AF9">
        <w:rPr>
          <w:rFonts w:ascii="宋体" w:eastAsia="宋体" w:hAnsi="宋体"/>
          <w:sz w:val="28"/>
          <w:szCs w:val="28"/>
        </w:rPr>
        <w:t>。行业板块多数</w:t>
      </w:r>
      <w:r w:rsidRPr="00C70AF9">
        <w:rPr>
          <w:rFonts w:ascii="宋体" w:eastAsia="宋体" w:hAnsi="宋体" w:hint="eastAsia"/>
          <w:sz w:val="28"/>
          <w:szCs w:val="28"/>
        </w:rPr>
        <w:t>走强</w:t>
      </w:r>
      <w:r w:rsidRPr="00C70AF9">
        <w:rPr>
          <w:rFonts w:ascii="宋体" w:eastAsia="宋体" w:hAnsi="宋体"/>
          <w:sz w:val="28"/>
          <w:szCs w:val="28"/>
        </w:rPr>
        <w:t>，</w:t>
      </w:r>
      <w:r w:rsidRPr="00C70AF9">
        <w:rPr>
          <w:rFonts w:ascii="宋体" w:eastAsia="宋体" w:hAnsi="宋体" w:hint="eastAsia"/>
          <w:sz w:val="28"/>
          <w:szCs w:val="28"/>
        </w:rPr>
        <w:t>涨幅</w:t>
      </w:r>
      <w:r w:rsidRPr="00C70AF9">
        <w:rPr>
          <w:rFonts w:ascii="宋体" w:eastAsia="宋体" w:hAnsi="宋体"/>
          <w:sz w:val="28"/>
          <w:szCs w:val="28"/>
        </w:rPr>
        <w:t>较大的包括</w:t>
      </w:r>
      <w:r w:rsidRPr="00C70AF9">
        <w:rPr>
          <w:rFonts w:ascii="宋体" w:eastAsia="宋体" w:hAnsi="宋体" w:hint="eastAsia"/>
          <w:sz w:val="28"/>
          <w:szCs w:val="28"/>
        </w:rPr>
        <w:t>综合</w:t>
      </w:r>
      <w:r w:rsidRPr="00C70AF9">
        <w:rPr>
          <w:rFonts w:ascii="宋体" w:eastAsia="宋体" w:hAnsi="宋体"/>
          <w:sz w:val="28"/>
          <w:szCs w:val="28"/>
        </w:rPr>
        <w:t>、</w:t>
      </w:r>
      <w:r w:rsidR="00693F31">
        <w:rPr>
          <w:rFonts w:ascii="宋体" w:eastAsia="宋体" w:hAnsi="宋体" w:hint="eastAsia"/>
          <w:sz w:val="28"/>
          <w:szCs w:val="28"/>
        </w:rPr>
        <w:t>非银行金融、汽车</w:t>
      </w:r>
      <w:r w:rsidRPr="00C70AF9">
        <w:rPr>
          <w:rFonts w:ascii="宋体" w:eastAsia="宋体" w:hAnsi="宋体"/>
          <w:sz w:val="28"/>
          <w:szCs w:val="28"/>
        </w:rPr>
        <w:t>、</w:t>
      </w:r>
      <w:r w:rsidR="00693F31">
        <w:rPr>
          <w:rFonts w:ascii="宋体" w:eastAsia="宋体" w:hAnsi="宋体" w:hint="eastAsia"/>
          <w:sz w:val="28"/>
          <w:szCs w:val="28"/>
        </w:rPr>
        <w:t>电力设备及新能源</w:t>
      </w:r>
      <w:r w:rsidR="00FA235F" w:rsidRPr="00C70AF9">
        <w:rPr>
          <w:rFonts w:ascii="宋体" w:eastAsia="宋体" w:hAnsi="宋体" w:hint="eastAsia"/>
          <w:sz w:val="28"/>
          <w:szCs w:val="28"/>
        </w:rPr>
        <w:t>、</w:t>
      </w:r>
      <w:r w:rsidR="00693F31">
        <w:rPr>
          <w:rFonts w:ascii="宋体" w:eastAsia="宋体" w:hAnsi="宋体" w:hint="eastAsia"/>
          <w:sz w:val="28"/>
          <w:szCs w:val="28"/>
        </w:rPr>
        <w:t>计算机</w:t>
      </w:r>
      <w:r w:rsidRPr="00C70AF9">
        <w:rPr>
          <w:rFonts w:ascii="宋体" w:eastAsia="宋体" w:hAnsi="宋体"/>
          <w:sz w:val="28"/>
          <w:szCs w:val="28"/>
        </w:rPr>
        <w:t>。</w:t>
      </w:r>
      <w:r w:rsidR="00693F31">
        <w:rPr>
          <w:rFonts w:ascii="宋体" w:eastAsia="宋体" w:hAnsi="宋体" w:hint="eastAsia"/>
          <w:sz w:val="28"/>
          <w:szCs w:val="28"/>
        </w:rPr>
        <w:t>煤炭与石油石化行业</w:t>
      </w:r>
      <w:r w:rsidR="00693F31">
        <w:rPr>
          <w:rFonts w:ascii="宋体" w:eastAsia="宋体" w:hAnsi="宋体" w:hint="eastAsia"/>
          <w:sz w:val="28"/>
          <w:szCs w:val="28"/>
        </w:rPr>
        <w:t>受国际局势影响</w:t>
      </w:r>
      <w:r w:rsidR="00693F31">
        <w:rPr>
          <w:rFonts w:ascii="宋体" w:eastAsia="宋体" w:hAnsi="宋体" w:hint="eastAsia"/>
          <w:sz w:val="28"/>
          <w:szCs w:val="28"/>
        </w:rPr>
        <w:t>成为唯二下跌的行业。各大</w:t>
      </w:r>
      <w:r w:rsidRPr="00C70AF9">
        <w:rPr>
          <w:rFonts w:ascii="宋体" w:eastAsia="宋体" w:hAnsi="宋体" w:hint="eastAsia"/>
          <w:sz w:val="28"/>
          <w:szCs w:val="28"/>
        </w:rPr>
        <w:t>板块</w:t>
      </w:r>
      <w:r w:rsidR="00693F31">
        <w:rPr>
          <w:rFonts w:ascii="宋体" w:eastAsia="宋体" w:hAnsi="宋体" w:hint="eastAsia"/>
          <w:sz w:val="28"/>
          <w:szCs w:val="28"/>
        </w:rPr>
        <w:t>同步上涨，但分化明显</w:t>
      </w:r>
      <w:r w:rsidRPr="00C70AF9">
        <w:rPr>
          <w:rFonts w:ascii="宋体" w:eastAsia="宋体" w:hAnsi="宋体" w:hint="eastAsia"/>
          <w:sz w:val="28"/>
          <w:szCs w:val="28"/>
        </w:rPr>
        <w:t>。</w:t>
      </w:r>
      <w:r w:rsidRPr="00C70AF9">
        <w:rPr>
          <w:rFonts w:ascii="宋体" w:eastAsia="宋体" w:hAnsi="宋体"/>
          <w:sz w:val="28"/>
          <w:szCs w:val="28"/>
        </w:rPr>
        <w:t>三大主题指数方面，</w:t>
      </w:r>
      <w:r w:rsidR="00693F31" w:rsidRPr="00C70AF9">
        <w:rPr>
          <w:rFonts w:ascii="宋体" w:eastAsia="宋体" w:hAnsi="宋体"/>
          <w:sz w:val="28"/>
          <w:szCs w:val="28"/>
        </w:rPr>
        <w:t>人工智能指数</w:t>
      </w:r>
      <w:r w:rsidR="00693F31">
        <w:rPr>
          <w:rFonts w:ascii="宋体" w:eastAsia="宋体" w:hAnsi="宋体" w:hint="eastAsia"/>
          <w:sz w:val="28"/>
          <w:szCs w:val="28"/>
        </w:rPr>
        <w:t>领涨</w:t>
      </w:r>
      <w:r w:rsidR="00693F31">
        <w:rPr>
          <w:rFonts w:ascii="宋体" w:eastAsia="宋体" w:hAnsi="宋体" w:hint="eastAsia"/>
          <w:sz w:val="28"/>
          <w:szCs w:val="28"/>
        </w:rPr>
        <w:t>2.56</w:t>
      </w:r>
      <w:r w:rsidR="00693F31" w:rsidRPr="00C70AF9">
        <w:rPr>
          <w:rFonts w:ascii="宋体" w:eastAsia="宋体" w:hAnsi="宋体"/>
          <w:sz w:val="28"/>
          <w:szCs w:val="28"/>
        </w:rPr>
        <w:t>%</w:t>
      </w:r>
      <w:r w:rsidR="00693F31">
        <w:rPr>
          <w:rFonts w:ascii="宋体" w:eastAsia="宋体" w:hAnsi="宋体" w:hint="eastAsia"/>
          <w:sz w:val="28"/>
          <w:szCs w:val="28"/>
        </w:rPr>
        <w:t>，</w:t>
      </w:r>
      <w:r w:rsidRPr="00C70AF9">
        <w:rPr>
          <w:rFonts w:ascii="宋体" w:eastAsia="宋体" w:hAnsi="宋体"/>
          <w:sz w:val="28"/>
          <w:szCs w:val="28"/>
        </w:rPr>
        <w:t>中特估指数</w:t>
      </w:r>
      <w:r w:rsidR="00693F31">
        <w:rPr>
          <w:rFonts w:ascii="宋体" w:eastAsia="宋体" w:hAnsi="宋体" w:hint="eastAsia"/>
          <w:sz w:val="28"/>
          <w:szCs w:val="28"/>
        </w:rPr>
        <w:t>与</w:t>
      </w:r>
      <w:r w:rsidRPr="00C70AF9">
        <w:rPr>
          <w:rFonts w:ascii="宋体" w:eastAsia="宋体" w:hAnsi="宋体"/>
          <w:sz w:val="28"/>
          <w:szCs w:val="28"/>
        </w:rPr>
        <w:t>核心资产指数</w:t>
      </w:r>
      <w:r w:rsidR="00693F31">
        <w:rPr>
          <w:rFonts w:ascii="宋体" w:eastAsia="宋体" w:hAnsi="宋体" w:hint="eastAsia"/>
          <w:sz w:val="28"/>
          <w:szCs w:val="28"/>
        </w:rPr>
        <w:t>各</w:t>
      </w:r>
      <w:r w:rsidRPr="00C70AF9">
        <w:rPr>
          <w:rFonts w:ascii="宋体" w:eastAsia="宋体" w:hAnsi="宋体" w:hint="eastAsia"/>
          <w:sz w:val="28"/>
          <w:szCs w:val="28"/>
        </w:rPr>
        <w:t>上涨0.</w:t>
      </w:r>
      <w:r w:rsidR="00693F31">
        <w:rPr>
          <w:rFonts w:ascii="宋体" w:eastAsia="宋体" w:hAnsi="宋体" w:hint="eastAsia"/>
          <w:sz w:val="28"/>
          <w:szCs w:val="28"/>
        </w:rPr>
        <w:t>66</w:t>
      </w:r>
      <w:r w:rsidRPr="00C70AF9">
        <w:rPr>
          <w:rFonts w:ascii="宋体" w:eastAsia="宋体" w:hAnsi="宋体" w:hint="eastAsia"/>
          <w:sz w:val="28"/>
          <w:szCs w:val="28"/>
        </w:rPr>
        <w:t>%</w:t>
      </w:r>
      <w:r w:rsidR="00693F31">
        <w:rPr>
          <w:rFonts w:ascii="宋体" w:eastAsia="宋体" w:hAnsi="宋体" w:hint="eastAsia"/>
          <w:sz w:val="28"/>
          <w:szCs w:val="28"/>
        </w:rPr>
        <w:t>、1.27</w:t>
      </w:r>
      <w:r w:rsidRPr="00C70AF9">
        <w:rPr>
          <w:rFonts w:ascii="宋体" w:eastAsia="宋体" w:hAnsi="宋体" w:hint="eastAsia"/>
          <w:sz w:val="28"/>
          <w:szCs w:val="28"/>
        </w:rPr>
        <w:t>%，</w:t>
      </w:r>
      <w:r w:rsidR="00693F31" w:rsidRPr="00693F31">
        <w:rPr>
          <w:rFonts w:ascii="宋体" w:eastAsia="宋体" w:hAnsi="宋体"/>
          <w:sz w:val="28"/>
          <w:szCs w:val="28"/>
        </w:rPr>
        <w:t>显示市场仍以成长风格为主导</w:t>
      </w:r>
      <w:r w:rsidRPr="00C70AF9">
        <w:rPr>
          <w:rFonts w:ascii="宋体" w:eastAsia="宋体" w:hAnsi="宋体" w:hint="eastAsia"/>
          <w:sz w:val="28"/>
          <w:szCs w:val="28"/>
        </w:rPr>
        <w:t>。</w:t>
      </w:r>
    </w:p>
    <w:p w14:paraId="75DD92D2" w14:textId="5FFE11B0" w:rsidR="00337185" w:rsidRDefault="00000000">
      <w:pPr>
        <w:ind w:firstLineChars="200" w:firstLine="560"/>
        <w:rPr>
          <w:rFonts w:ascii="宋体" w:eastAsia="宋体" w:hAnsi="宋体" w:hint="eastAsia"/>
          <w:sz w:val="28"/>
          <w:szCs w:val="28"/>
        </w:rPr>
      </w:pPr>
      <w:r w:rsidRPr="00C70AF9">
        <w:rPr>
          <w:rFonts w:ascii="宋体" w:eastAsia="宋体" w:hAnsi="宋体"/>
          <w:sz w:val="28"/>
          <w:szCs w:val="28"/>
        </w:rPr>
        <w:t>从基差视角来看，2025年6月2</w:t>
      </w:r>
      <w:r w:rsidR="00FA235F" w:rsidRPr="00C70AF9">
        <w:rPr>
          <w:rFonts w:ascii="宋体" w:eastAsia="宋体" w:hAnsi="宋体" w:hint="eastAsia"/>
          <w:sz w:val="28"/>
          <w:szCs w:val="28"/>
        </w:rPr>
        <w:t>4</w:t>
      </w:r>
      <w:r w:rsidRPr="00C70AF9">
        <w:rPr>
          <w:rFonts w:ascii="宋体" w:eastAsia="宋体" w:hAnsi="宋体"/>
          <w:sz w:val="28"/>
          <w:szCs w:val="28"/>
        </w:rPr>
        <w:t>日股指期货合约</w:t>
      </w:r>
      <w:r w:rsidRPr="00C70AF9">
        <w:rPr>
          <w:rFonts w:ascii="宋体" w:eastAsia="宋体" w:hAnsi="宋体" w:hint="eastAsia"/>
          <w:sz w:val="28"/>
          <w:szCs w:val="28"/>
        </w:rPr>
        <w:t>均</w:t>
      </w:r>
      <w:r w:rsidRPr="00C70AF9">
        <w:rPr>
          <w:rFonts w:ascii="宋体" w:eastAsia="宋体" w:hAnsi="宋体"/>
          <w:sz w:val="28"/>
          <w:szCs w:val="28"/>
        </w:rPr>
        <w:t>呈现升水状态，</w:t>
      </w:r>
      <w:r w:rsidR="0021168B" w:rsidRPr="00C70AF9">
        <w:rPr>
          <w:rFonts w:ascii="宋体" w:eastAsia="宋体" w:hAnsi="宋体"/>
          <w:sz w:val="28"/>
          <w:szCs w:val="28"/>
        </w:rPr>
        <w:t xml:space="preserve"> </w:t>
      </w:r>
      <w:r w:rsidRPr="00C70AF9">
        <w:rPr>
          <w:rFonts w:ascii="宋体" w:eastAsia="宋体" w:hAnsi="宋体"/>
          <w:sz w:val="28"/>
          <w:szCs w:val="28"/>
        </w:rPr>
        <w:t>IC</w:t>
      </w:r>
      <w:r w:rsidRPr="00C70AF9">
        <w:rPr>
          <w:rFonts w:ascii="宋体" w:eastAsia="宋体" w:hAnsi="宋体" w:hint="eastAsia"/>
          <w:sz w:val="28"/>
          <w:szCs w:val="28"/>
        </w:rPr>
        <w:t>与</w:t>
      </w:r>
      <w:r w:rsidRPr="00C70AF9">
        <w:rPr>
          <w:rFonts w:ascii="宋体" w:eastAsia="宋体" w:hAnsi="宋体"/>
          <w:sz w:val="28"/>
          <w:szCs w:val="28"/>
        </w:rPr>
        <w:t>I</w:t>
      </w:r>
      <w:r w:rsidRPr="00C70AF9">
        <w:rPr>
          <w:rFonts w:ascii="宋体" w:eastAsia="宋体" w:hAnsi="宋体" w:hint="eastAsia"/>
          <w:sz w:val="28"/>
          <w:szCs w:val="28"/>
        </w:rPr>
        <w:t>M</w:t>
      </w:r>
      <w:r w:rsidRPr="00C70AF9">
        <w:rPr>
          <w:rFonts w:ascii="宋体" w:eastAsia="宋体" w:hAnsi="宋体"/>
          <w:sz w:val="28"/>
          <w:szCs w:val="28"/>
        </w:rPr>
        <w:t>基差水平显著高于IF和IH</w:t>
      </w:r>
      <w:r w:rsidRPr="00C70AF9">
        <w:rPr>
          <w:rFonts w:ascii="宋体" w:eastAsia="宋体" w:hAnsi="宋体" w:hint="eastAsia"/>
          <w:sz w:val="28"/>
          <w:szCs w:val="28"/>
        </w:rPr>
        <w:t>。大盘的IH合约贴水小幅</w:t>
      </w:r>
      <w:r w:rsidR="0021168B" w:rsidRPr="00C70AF9">
        <w:rPr>
          <w:rFonts w:ascii="宋体" w:eastAsia="宋体" w:hAnsi="宋体" w:hint="eastAsia"/>
          <w:sz w:val="28"/>
          <w:szCs w:val="28"/>
        </w:rPr>
        <w:t>扩张</w:t>
      </w:r>
      <w:r w:rsidRPr="00C70AF9">
        <w:rPr>
          <w:rFonts w:ascii="宋体" w:eastAsia="宋体" w:hAnsi="宋体" w:hint="eastAsia"/>
          <w:sz w:val="28"/>
          <w:szCs w:val="28"/>
        </w:rPr>
        <w:t>，</w:t>
      </w:r>
      <w:r w:rsidR="0021168B" w:rsidRPr="00C70AF9">
        <w:rPr>
          <w:rFonts w:ascii="宋体" w:eastAsia="宋体" w:hAnsi="宋体" w:hint="eastAsia"/>
          <w:sz w:val="28"/>
          <w:szCs w:val="28"/>
        </w:rPr>
        <w:t>呈现与中小盘分化的趋势。IC，IM，IF贴水均小幅收敛。中盘与</w:t>
      </w:r>
      <w:r w:rsidRPr="00C70AF9">
        <w:rPr>
          <w:rFonts w:ascii="宋体" w:eastAsia="宋体" w:hAnsi="宋体"/>
          <w:sz w:val="28"/>
          <w:szCs w:val="28"/>
        </w:rPr>
        <w:t>中</w:t>
      </w:r>
      <w:r w:rsidRPr="00C70AF9">
        <w:rPr>
          <w:rFonts w:ascii="宋体" w:eastAsia="宋体" w:hAnsi="宋体" w:hint="eastAsia"/>
          <w:sz w:val="28"/>
          <w:szCs w:val="28"/>
        </w:rPr>
        <w:t>小</w:t>
      </w:r>
      <w:r w:rsidRPr="00C70AF9">
        <w:rPr>
          <w:rFonts w:ascii="宋体" w:eastAsia="宋体" w:hAnsi="宋体"/>
          <w:sz w:val="28"/>
          <w:szCs w:val="28"/>
        </w:rPr>
        <w:t>盘股</w:t>
      </w:r>
      <w:r w:rsidR="0021168B" w:rsidRPr="00C70AF9">
        <w:rPr>
          <w:rFonts w:ascii="宋体" w:eastAsia="宋体" w:hAnsi="宋体" w:hint="eastAsia"/>
          <w:sz w:val="28"/>
          <w:szCs w:val="28"/>
        </w:rPr>
        <w:t>近月与</w:t>
      </w:r>
      <w:r w:rsidRPr="00C70AF9">
        <w:rPr>
          <w:rFonts w:ascii="宋体" w:eastAsia="宋体" w:hAnsi="宋体"/>
          <w:sz w:val="28"/>
          <w:szCs w:val="28"/>
        </w:rPr>
        <w:t>远月合约基差和基差率</w:t>
      </w:r>
      <w:r w:rsidR="0068253D">
        <w:rPr>
          <w:rFonts w:ascii="宋体" w:eastAsia="宋体" w:hAnsi="宋体" w:hint="eastAsia"/>
          <w:sz w:val="28"/>
          <w:szCs w:val="28"/>
        </w:rPr>
        <w:t>小幅</w:t>
      </w:r>
      <w:r w:rsidR="0021168B" w:rsidRPr="00C70AF9">
        <w:rPr>
          <w:rFonts w:ascii="宋体" w:eastAsia="宋体" w:hAnsi="宋体" w:hint="eastAsia"/>
          <w:sz w:val="28"/>
          <w:szCs w:val="28"/>
        </w:rPr>
        <w:t>回落</w:t>
      </w:r>
      <w:r w:rsidRPr="00C70AF9">
        <w:rPr>
          <w:rFonts w:ascii="宋体" w:eastAsia="宋体" w:hAnsi="宋体"/>
          <w:sz w:val="28"/>
          <w:szCs w:val="28"/>
        </w:rPr>
        <w:t>。</w:t>
      </w:r>
      <w:r w:rsidR="003A1D03" w:rsidRPr="00C70AF9">
        <w:rPr>
          <w:rFonts w:ascii="宋体" w:eastAsia="宋体" w:hAnsi="宋体"/>
          <w:sz w:val="28"/>
          <w:szCs w:val="28"/>
        </w:rPr>
        <w:t>市场对中小盘远月合约维持显著风险溢价</w:t>
      </w:r>
      <w:r w:rsidRPr="00C70AF9">
        <w:rPr>
          <w:rFonts w:ascii="宋体" w:eastAsia="宋体" w:hAnsi="宋体"/>
          <w:sz w:val="28"/>
          <w:szCs w:val="28"/>
        </w:rPr>
        <w:t>，</w:t>
      </w:r>
      <w:r w:rsidR="0021168B" w:rsidRPr="00C70AF9">
        <w:rPr>
          <w:rFonts w:ascii="宋体" w:eastAsia="宋体" w:hAnsi="宋体"/>
          <w:sz w:val="28"/>
          <w:szCs w:val="28"/>
        </w:rPr>
        <w:t>反映出投资者对下半年中小盘股反弹力度的保守预期。</w:t>
      </w:r>
    </w:p>
    <w:p w14:paraId="50568ACF" w14:textId="77777777" w:rsidR="00337185" w:rsidRPr="003A1D03" w:rsidRDefault="00337185">
      <w:pPr>
        <w:ind w:firstLineChars="200" w:firstLine="560"/>
        <w:rPr>
          <w:rFonts w:ascii="宋体" w:eastAsia="宋体" w:hAnsi="宋体" w:hint="eastAsia"/>
          <w:sz w:val="28"/>
          <w:szCs w:val="28"/>
        </w:rPr>
      </w:pPr>
    </w:p>
    <w:p w14:paraId="2317FF3E" w14:textId="77777777" w:rsidR="00337185" w:rsidRDefault="00000000">
      <w:pPr>
        <w:pStyle w:val="af"/>
        <w:numPr>
          <w:ilvl w:val="0"/>
          <w:numId w:val="1"/>
        </w:numPr>
        <w:rPr>
          <w:rFonts w:ascii="宋体" w:eastAsia="宋体" w:hAnsi="宋体" w:hint="eastAsia"/>
          <w:sz w:val="28"/>
          <w:szCs w:val="28"/>
        </w:rPr>
      </w:pPr>
      <w:r>
        <w:rPr>
          <w:rFonts w:ascii="宋体" w:eastAsia="宋体" w:hAnsi="宋体" w:hint="eastAsia"/>
          <w:sz w:val="28"/>
          <w:szCs w:val="28"/>
        </w:rPr>
        <w:t>市场要点</w:t>
      </w:r>
    </w:p>
    <w:p w14:paraId="6AA7B168" w14:textId="77777777" w:rsidR="00337185" w:rsidRDefault="00000000">
      <w:pPr>
        <w:rPr>
          <w:rFonts w:ascii="宋体" w:eastAsia="宋体" w:hAnsi="宋体" w:hint="eastAsia"/>
          <w:b/>
          <w:bCs/>
          <w:sz w:val="28"/>
          <w:szCs w:val="28"/>
        </w:rPr>
      </w:pPr>
      <w:r>
        <w:rPr>
          <w:rFonts w:ascii="宋体" w:eastAsia="宋体" w:hAnsi="宋体" w:hint="eastAsia"/>
          <w:b/>
          <w:bCs/>
          <w:sz w:val="28"/>
          <w:szCs w:val="28"/>
        </w:rPr>
        <w:t>1.伊朗未有封锁霍尔木兹海峡的迹象</w:t>
      </w:r>
    </w:p>
    <w:p w14:paraId="3E4DD25A" w14:textId="77777777" w:rsidR="00337185" w:rsidRDefault="00000000">
      <w:pPr>
        <w:ind w:firstLineChars="200" w:firstLine="560"/>
        <w:rPr>
          <w:rFonts w:ascii="宋体" w:eastAsia="宋体" w:hAnsi="宋体" w:hint="eastAsia"/>
          <w:sz w:val="28"/>
          <w:szCs w:val="28"/>
        </w:rPr>
      </w:pPr>
      <w:r>
        <w:rPr>
          <w:rFonts w:ascii="宋体" w:eastAsia="宋体" w:hAnsi="宋体" w:hint="eastAsia"/>
          <w:sz w:val="28"/>
          <w:szCs w:val="28"/>
        </w:rPr>
        <w:lastRenderedPageBreak/>
        <w:t>伊朗宣布对美军驻卡塔尔乌代德空军基地实施导弹打击。美国官员称，没有美方人员伤亡报告。除卡塔尔外，“没有记录到伊朗对其他国家的美军基地发动袭击”。特朗普对伊朗提前通知打击美军基地表示感谢，并称是时候实现和平了。伊朗方面只对美国在中东的一处基地进行了打击，且未有封锁霍尔木兹海峡的迹象。国际油价受此影响大跌约9%，美股上涨。</w:t>
      </w:r>
      <w:r>
        <w:rPr>
          <w:rFonts w:ascii="宋体" w:eastAsia="宋体" w:hAnsi="宋体"/>
          <w:sz w:val="28"/>
          <w:szCs w:val="28"/>
        </w:rPr>
        <w:tab/>
      </w:r>
    </w:p>
    <w:p w14:paraId="4A8B8BEE" w14:textId="77777777" w:rsidR="00337185" w:rsidRDefault="00000000">
      <w:pPr>
        <w:ind w:firstLineChars="200" w:firstLine="560"/>
        <w:rPr>
          <w:rFonts w:ascii="宋体" w:eastAsia="宋体" w:hAnsi="宋体" w:hint="eastAsia"/>
          <w:sz w:val="28"/>
          <w:szCs w:val="28"/>
        </w:rPr>
      </w:pPr>
      <w:r>
        <w:rPr>
          <w:rFonts w:ascii="宋体" w:eastAsia="宋体" w:hAnsi="宋体" w:hint="eastAsia"/>
          <w:sz w:val="28"/>
          <w:szCs w:val="28"/>
        </w:rPr>
        <w:t>该事件使市场风险偏好明显上升，人形机器人、AI等高成长性高估值行业明显受益，石油石化、煤炭、有色金属（黄金等贵金属）、核污染防治等行业板块有所承压，短期可重点关注人形机器人等高成长性行业。</w:t>
      </w:r>
    </w:p>
    <w:p w14:paraId="6683FD01" w14:textId="77777777" w:rsidR="00337185" w:rsidRDefault="00000000">
      <w:pPr>
        <w:numPr>
          <w:ilvl w:val="0"/>
          <w:numId w:val="2"/>
        </w:numPr>
        <w:rPr>
          <w:rFonts w:ascii="宋体" w:eastAsia="宋体" w:hAnsi="宋体" w:hint="eastAsia"/>
          <w:b/>
          <w:bCs/>
          <w:sz w:val="28"/>
          <w:szCs w:val="28"/>
        </w:rPr>
      </w:pPr>
      <w:r>
        <w:rPr>
          <w:rFonts w:ascii="宋体" w:eastAsia="宋体" w:hAnsi="宋体" w:hint="eastAsia"/>
          <w:b/>
          <w:bCs/>
          <w:sz w:val="28"/>
          <w:szCs w:val="28"/>
        </w:rPr>
        <w:t>白银期货走势反超黄金</w:t>
      </w:r>
    </w:p>
    <w:p w14:paraId="708DFD81" w14:textId="77777777" w:rsidR="00337185" w:rsidRDefault="00000000">
      <w:pPr>
        <w:ind w:firstLineChars="200" w:firstLine="560"/>
        <w:rPr>
          <w:rFonts w:ascii="宋体" w:eastAsia="宋体" w:hAnsi="宋体" w:hint="eastAsia"/>
          <w:sz w:val="28"/>
          <w:szCs w:val="28"/>
        </w:rPr>
      </w:pPr>
      <w:r>
        <w:rPr>
          <w:rFonts w:ascii="宋体" w:eastAsia="宋体" w:hAnsi="宋体" w:hint="eastAsia"/>
          <w:sz w:val="28"/>
          <w:szCs w:val="28"/>
        </w:rPr>
        <w:t>自上周五以伊冲突之后，从黄金和白银期货的走势来看，目前白银已经反超了黄金。今年迄今为止，在纽约商品交易所COMEX交易的白银期货，已上涨超25%。在NYMEX交易的铂金期货，则上涨超45%。</w:t>
      </w:r>
    </w:p>
    <w:p w14:paraId="12433E85" w14:textId="72868ED8" w:rsidR="00337185" w:rsidRDefault="00000000">
      <w:pPr>
        <w:ind w:firstLineChars="200" w:firstLine="560"/>
        <w:rPr>
          <w:rFonts w:ascii="宋体" w:eastAsia="宋体" w:hAnsi="宋体" w:hint="eastAsia"/>
          <w:sz w:val="28"/>
          <w:szCs w:val="28"/>
        </w:rPr>
      </w:pPr>
      <w:r>
        <w:rPr>
          <w:rFonts w:ascii="宋体" w:eastAsia="宋体" w:hAnsi="宋体" w:hint="eastAsia"/>
          <w:sz w:val="28"/>
          <w:szCs w:val="28"/>
        </w:rPr>
        <w:t>作为最主要避险品种的黄金，前期受俄乌战争、伊朗以色列冲突等政治局势影响，黄金品种累计涨幅巨大，但随着伊朗以色列</w:t>
      </w:r>
      <w:r w:rsidR="00FE5E9B">
        <w:rPr>
          <w:rFonts w:ascii="宋体" w:eastAsia="宋体" w:hAnsi="宋体" w:hint="eastAsia"/>
          <w:sz w:val="28"/>
          <w:szCs w:val="28"/>
        </w:rPr>
        <w:t>宣布停火</w:t>
      </w:r>
      <w:r>
        <w:rPr>
          <w:rFonts w:ascii="宋体" w:eastAsia="宋体" w:hAnsi="宋体" w:hint="eastAsia"/>
          <w:sz w:val="28"/>
          <w:szCs w:val="28"/>
        </w:rPr>
        <w:t>的影响，工业属性更重的贵金属品种白银期货走势反超黄金，也从侧面反应市场风险偏好有所提升。</w:t>
      </w:r>
    </w:p>
    <w:p w14:paraId="38C22326" w14:textId="77777777" w:rsidR="00337185" w:rsidRDefault="00337185">
      <w:pPr>
        <w:rPr>
          <w:rFonts w:ascii="宋体" w:eastAsia="宋体" w:hAnsi="宋体" w:hint="eastAsia"/>
          <w:b/>
          <w:bCs/>
          <w:sz w:val="28"/>
          <w:szCs w:val="28"/>
        </w:rPr>
      </w:pPr>
    </w:p>
    <w:p w14:paraId="0ACB3071" w14:textId="77777777" w:rsidR="00337185" w:rsidRDefault="00000000">
      <w:pPr>
        <w:rPr>
          <w:rFonts w:ascii="宋体" w:eastAsia="宋体" w:hAnsi="宋体" w:hint="eastAsia"/>
          <w:b/>
          <w:bCs/>
          <w:sz w:val="28"/>
          <w:szCs w:val="28"/>
        </w:rPr>
      </w:pPr>
      <w:r>
        <w:rPr>
          <w:rFonts w:ascii="宋体" w:eastAsia="宋体" w:hAnsi="宋体" w:hint="eastAsia"/>
          <w:b/>
          <w:bCs/>
          <w:sz w:val="28"/>
          <w:szCs w:val="28"/>
        </w:rPr>
        <w:t>3.国际油价大幅走低</w:t>
      </w:r>
    </w:p>
    <w:p w14:paraId="300E050A" w14:textId="77777777" w:rsidR="00337185" w:rsidRDefault="00000000">
      <w:pPr>
        <w:ind w:firstLineChars="200" w:firstLine="560"/>
        <w:rPr>
          <w:rFonts w:ascii="宋体" w:eastAsia="宋体" w:hAnsi="宋体" w:hint="eastAsia"/>
          <w:sz w:val="28"/>
          <w:szCs w:val="28"/>
        </w:rPr>
      </w:pPr>
      <w:r>
        <w:rPr>
          <w:rFonts w:ascii="宋体" w:eastAsia="宋体" w:hAnsi="宋体" w:hint="eastAsia"/>
          <w:sz w:val="28"/>
          <w:szCs w:val="28"/>
        </w:rPr>
        <w:lastRenderedPageBreak/>
        <w:t>国际油价大幅走低，美油主力合约收跌8.95%，报67.23美元/桶；布伦特原油主力合约跌8.37%，报69.16美元/桶。美国总统特朗普对伊朗提前通知打击美军基地表示感谢，并称是时候实现和平了，市场对中东局势的担忧缓解。</w:t>
      </w:r>
    </w:p>
    <w:p w14:paraId="24E42DFF" w14:textId="77777777" w:rsidR="00337185" w:rsidRDefault="00000000">
      <w:pPr>
        <w:ind w:firstLineChars="200" w:firstLine="560"/>
        <w:rPr>
          <w:rFonts w:ascii="宋体" w:eastAsia="宋体" w:hAnsi="宋体" w:hint="eastAsia"/>
          <w:sz w:val="28"/>
          <w:szCs w:val="28"/>
        </w:rPr>
      </w:pPr>
      <w:r>
        <w:rPr>
          <w:rFonts w:ascii="宋体" w:eastAsia="宋体" w:hAnsi="宋体" w:hint="eastAsia"/>
          <w:sz w:val="28"/>
          <w:szCs w:val="28"/>
        </w:rPr>
        <w:t xml:space="preserve">综合来看，国际油价中长期受供需影响，需求不及预期且OPEC+持续增产，中枢中长期将逐步下移；但短期国际油价受地缘政治影响巨大，不易判断，仍不能完全排除短期中东局势难以根本缓解消除下，布伦特原油期货价格上冲80美元/桶并从短日突破100美元/桶的可能性。 </w:t>
      </w:r>
    </w:p>
    <w:p w14:paraId="60C54F8D" w14:textId="77777777" w:rsidR="00337185" w:rsidRDefault="00000000">
      <w:pPr>
        <w:rPr>
          <w:rFonts w:ascii="宋体" w:eastAsia="宋体" w:hAnsi="宋体" w:hint="eastAsia"/>
          <w:b/>
          <w:bCs/>
          <w:sz w:val="28"/>
          <w:szCs w:val="28"/>
        </w:rPr>
      </w:pPr>
      <w:r>
        <w:rPr>
          <w:rFonts w:ascii="宋体" w:eastAsia="宋体" w:hAnsi="宋体" w:hint="eastAsia"/>
          <w:b/>
          <w:bCs/>
          <w:sz w:val="28"/>
          <w:szCs w:val="28"/>
        </w:rPr>
        <w:t>4.央行开展了2205亿元逆回购操作</w:t>
      </w:r>
    </w:p>
    <w:p w14:paraId="0C89ABBE" w14:textId="77777777" w:rsidR="00337185" w:rsidRDefault="00000000">
      <w:pPr>
        <w:ind w:firstLineChars="200" w:firstLine="560"/>
        <w:rPr>
          <w:rFonts w:ascii="宋体" w:eastAsia="宋体" w:hAnsi="宋体" w:hint="eastAsia"/>
          <w:sz w:val="28"/>
          <w:szCs w:val="28"/>
        </w:rPr>
      </w:pPr>
      <w:r>
        <w:rPr>
          <w:rFonts w:ascii="宋体" w:eastAsia="宋体" w:hAnsi="宋体" w:hint="eastAsia"/>
          <w:sz w:val="28"/>
          <w:szCs w:val="28"/>
        </w:rPr>
        <w:t>央行公告，2025年6月23日，中国人民银行以固定利率、数量招标方式开展了2205亿元逆回购操作，期限为7天，操作利率为1.40%，投标量和中标量均为2205亿元。同花顺iFinD数据显示，今日有2420亿元7天期逆回购到期。</w:t>
      </w:r>
    </w:p>
    <w:p w14:paraId="188E517F" w14:textId="77777777" w:rsidR="00337185" w:rsidRDefault="00000000">
      <w:pPr>
        <w:ind w:firstLineChars="200" w:firstLine="560"/>
        <w:rPr>
          <w:rFonts w:ascii="宋体" w:eastAsia="宋体" w:hAnsi="宋体" w:hint="eastAsia"/>
          <w:sz w:val="28"/>
          <w:szCs w:val="28"/>
        </w:rPr>
      </w:pPr>
      <w:r>
        <w:rPr>
          <w:rFonts w:ascii="宋体" w:eastAsia="宋体" w:hAnsi="宋体" w:hint="eastAsia"/>
          <w:sz w:val="28"/>
          <w:szCs w:val="28"/>
        </w:rPr>
        <w:t>宏观经济低迷不振的背景之下，央行保持流动性宽松并通过MOM公开市场操作向市场传递这一宽松信息为未来短中期常态。</w:t>
      </w:r>
    </w:p>
    <w:p w14:paraId="26D934D4" w14:textId="77777777" w:rsidR="00337185" w:rsidRDefault="00000000">
      <w:pPr>
        <w:rPr>
          <w:rFonts w:ascii="宋体" w:eastAsia="宋体" w:hAnsi="宋体" w:cs="Times New Roman" w:hint="eastAsia"/>
          <w:b/>
          <w:bCs/>
          <w:sz w:val="28"/>
          <w:szCs w:val="28"/>
        </w:rPr>
      </w:pPr>
      <w:r>
        <w:rPr>
          <w:rFonts w:ascii="宋体" w:eastAsia="宋体" w:hAnsi="宋体" w:cs="Times New Roman" w:hint="eastAsia"/>
          <w:b/>
          <w:bCs/>
          <w:sz w:val="28"/>
          <w:szCs w:val="28"/>
        </w:rPr>
        <w:t>5.规范互联网平台企业经营者和从业人员涉税信息</w:t>
      </w:r>
    </w:p>
    <w:p w14:paraId="75CC6BA0" w14:textId="77777777" w:rsidR="00337185" w:rsidRDefault="00000000">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互联网平台企业涉税信息报送规定》正式发布。《规定》明确，平台内从事配送、运输、家政等便民劳务活动，依法享受税收优惠或者不需要纳税的从业人员的收入信息，以及平台内经营者和从业人员在《规定》施行前的涉税信息，不需要报送。</w:t>
      </w:r>
    </w:p>
    <w:p w14:paraId="3E49C552" w14:textId="77777777" w:rsidR="00337185" w:rsidRDefault="00000000">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lastRenderedPageBreak/>
        <w:t xml:space="preserve">《规定》旨在规范互联网平台企业向税务机关报送平台内经营者和从业人员涉税信息，提升税收服务与管理效能，保护纳税人合法权益，营造公平统一的税收环境。中长期而言，相关头部互联网上市公司平台经济将规范健康发展，可关注行业龙头公司。 </w:t>
      </w:r>
    </w:p>
    <w:p w14:paraId="2F23BFB8" w14:textId="77777777" w:rsidR="00337185" w:rsidRDefault="00000000">
      <w:pPr>
        <w:ind w:firstLineChars="200" w:firstLine="562"/>
        <w:rPr>
          <w:rFonts w:ascii="宋体" w:eastAsia="宋体" w:hAnsi="宋体" w:cs="Times New Roman" w:hint="eastAsia"/>
          <w:b/>
          <w:bCs/>
          <w:sz w:val="28"/>
          <w:szCs w:val="28"/>
        </w:rPr>
      </w:pPr>
      <w:r>
        <w:rPr>
          <w:rFonts w:ascii="宋体" w:eastAsia="宋体" w:hAnsi="宋体" w:cs="Times New Roman" w:hint="eastAsia"/>
          <w:b/>
          <w:bCs/>
          <w:sz w:val="28"/>
          <w:szCs w:val="28"/>
        </w:rPr>
        <w:t>6.专项债拟投向领域正进一步拓宽</w:t>
      </w:r>
    </w:p>
    <w:p w14:paraId="097EC306" w14:textId="77777777" w:rsidR="00337185" w:rsidRDefault="00000000">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多地新披露的专项债拟投向领域正进一步拓宽。近日，专项债首次投向政府投资基金这一新用途受到市场关注。与此同时，新增专项债务限额重点用于土地收储和收购存量商品房、消化地方政府拖欠企业账款等安排也正逐步落地。业内人士预计，在6月快节奏的基础上，下半年新增地方政府专项债券发行进度仍将加快，其中包括支持用于化债的特殊新增专项债。</w:t>
      </w:r>
    </w:p>
    <w:p w14:paraId="5F0C741A" w14:textId="77777777" w:rsidR="00337185" w:rsidRDefault="00000000">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下半年新增地方政府专项债券发行进度仍将加快以及专项债首次投向政府投资基金这一新用途，预计对下半年拉动国内国内宏观经济“三驾马车”中的其中一驾马车“固定资产投资项”意义重大且效果明显，预计下半年“固定资产投资”将持续拉动经济小幅持续回升。</w:t>
      </w:r>
    </w:p>
    <w:p w14:paraId="7BCEE8C0" w14:textId="77777777" w:rsidR="00337185" w:rsidRDefault="00000000">
      <w:pPr>
        <w:rPr>
          <w:rFonts w:ascii="宋体" w:eastAsia="宋体" w:hAnsi="宋体" w:cs="Times New Roman" w:hint="eastAsia"/>
          <w:b/>
          <w:bCs/>
          <w:sz w:val="28"/>
          <w:szCs w:val="28"/>
        </w:rPr>
      </w:pPr>
      <w:r>
        <w:rPr>
          <w:rFonts w:ascii="宋体" w:eastAsia="宋体" w:hAnsi="宋体" w:cs="Times New Roman" w:hint="eastAsia"/>
          <w:b/>
          <w:bCs/>
          <w:sz w:val="28"/>
          <w:szCs w:val="28"/>
        </w:rPr>
        <w:t>7.工信部印发《黄金产业高质量发展实施方案》</w:t>
      </w:r>
    </w:p>
    <w:p w14:paraId="4BC40FC0" w14:textId="77777777" w:rsidR="00337185" w:rsidRDefault="00000000">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工信部等九部门印发《黄金产业高质量发展实施方案(2025—2027年)》。《实施方案》提出，到2027年，黄金资源保障能力和产业链创新水平明显提升。资源保障方面，黄金资源量增长5%-10%，黄金、白银产量增长5%以上；技术创新方面，突破一批关键</w:t>
      </w:r>
      <w:r>
        <w:rPr>
          <w:rFonts w:ascii="宋体" w:eastAsia="宋体" w:hAnsi="宋体" w:cs="Times New Roman" w:hint="eastAsia"/>
          <w:sz w:val="28"/>
          <w:szCs w:val="28"/>
        </w:rPr>
        <w:lastRenderedPageBreak/>
        <w:t xml:space="preserve">共性技术和装备，2000米以下深度的矿山开采、无氰提金等采选冶技术装备实现应用，黄金、白银高端新材料供给能力明显增强；产业升级方面，黄金矿石处理量500吨/日以上的矿山产量占全国70%以上，培育一批优质企业，标准体系不断健全，产业结构进一步优化。展望2035年，高质量发展格局全面形成，资源综合保障能力明显增强，建成全球领先的技术体系和产业体系。 </w:t>
      </w:r>
    </w:p>
    <w:p w14:paraId="3B9D1849" w14:textId="416AF60E" w:rsidR="00337185" w:rsidRDefault="00000000">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美元霸权大背景下加之全球贸易保护主义抬头，未来十年都会对我国宏观经济持续产生一定负面影响</w:t>
      </w:r>
      <w:r w:rsidR="00FE5E9B">
        <w:rPr>
          <w:rFonts w:ascii="宋体" w:eastAsia="宋体" w:hAnsi="宋体" w:cs="Times New Roman" w:hint="eastAsia"/>
          <w:sz w:val="28"/>
          <w:szCs w:val="28"/>
        </w:rPr>
        <w:t>。</w:t>
      </w:r>
      <w:r>
        <w:rPr>
          <w:rFonts w:ascii="宋体" w:eastAsia="宋体" w:hAnsi="宋体" w:cs="Times New Roman" w:hint="eastAsia"/>
          <w:sz w:val="28"/>
          <w:szCs w:val="28"/>
        </w:rPr>
        <w:t>大幅提升黄金产量</w:t>
      </w:r>
      <w:r w:rsidR="00FE5E9B">
        <w:rPr>
          <w:rFonts w:ascii="宋体" w:eastAsia="宋体" w:hAnsi="宋体" w:cs="Times New Roman" w:hint="eastAsia"/>
          <w:sz w:val="28"/>
          <w:szCs w:val="28"/>
        </w:rPr>
        <w:t>可加速</w:t>
      </w:r>
      <w:r>
        <w:rPr>
          <w:rFonts w:ascii="宋体" w:eastAsia="宋体" w:hAnsi="宋体" w:cs="Times New Roman" w:hint="eastAsia"/>
          <w:sz w:val="28"/>
          <w:szCs w:val="28"/>
        </w:rPr>
        <w:t>推进人民币国际化和汇率稳定机制，利于做好金融风险防范和宏观审慎工作。</w:t>
      </w:r>
    </w:p>
    <w:p w14:paraId="14B972B4" w14:textId="77777777" w:rsidR="00337185" w:rsidRDefault="00000000">
      <w:pPr>
        <w:rPr>
          <w:rFonts w:ascii="宋体" w:eastAsia="宋体" w:hAnsi="宋体" w:hint="eastAsia"/>
          <w:b/>
          <w:bCs/>
          <w:sz w:val="28"/>
          <w:szCs w:val="28"/>
        </w:rPr>
      </w:pPr>
      <w:r>
        <w:rPr>
          <w:rFonts w:ascii="宋体" w:eastAsia="宋体" w:hAnsi="宋体" w:hint="eastAsia"/>
          <w:b/>
          <w:bCs/>
          <w:sz w:val="28"/>
          <w:szCs w:val="28"/>
        </w:rPr>
        <w:t>8.以芳纶膜为前驱体的双向高导热石墨膜实现技术突破</w:t>
      </w:r>
    </w:p>
    <w:p w14:paraId="29721020" w14:textId="77777777" w:rsidR="00337185" w:rsidRDefault="00000000">
      <w:pPr>
        <w:ind w:firstLineChars="200" w:firstLine="560"/>
        <w:rPr>
          <w:rFonts w:ascii="宋体" w:eastAsia="宋体" w:hAnsi="宋体" w:hint="eastAsia"/>
          <w:sz w:val="28"/>
          <w:szCs w:val="28"/>
        </w:rPr>
      </w:pPr>
      <w:r>
        <w:rPr>
          <w:rFonts w:ascii="宋体" w:eastAsia="宋体" w:hAnsi="宋体" w:hint="eastAsia"/>
          <w:sz w:val="28"/>
          <w:szCs w:val="28"/>
        </w:rPr>
        <w:t>近日，中国科学院上海微系统所联合宁波大学研究团队在《Advanced Functional Materials》发表研究，提出以芳纶膜为前驱体通过高温石墨化工艺制备低缺陷、大晶粒、高取向的双向高导热石墨膜，在膜厚度达到40微米的情况下实现面内热导率Kin达到1754 W/m.K，面外热导率Kout突破14.2 W/m.K。与传统导热膜相比，双向高导热石墨膜在面内和面外热导率及缺陷控制上均表现出显著优势。在智能手机散热模拟中，搭载双向高导热石墨膜的芯片表面最高温度从52℃降至45℃；在2000 W/cm 热流密度的高功率芯片散热中，AGFs使芯片表面温差从50℃降至9℃，实现快速温度均匀化。该研究揭示了芳纶前驱体在石墨膜制备中的独特优势，证</w:t>
      </w:r>
      <w:r>
        <w:rPr>
          <w:rFonts w:ascii="宋体" w:eastAsia="宋体" w:hAnsi="宋体" w:hint="eastAsia"/>
          <w:sz w:val="28"/>
          <w:szCs w:val="28"/>
        </w:rPr>
        <w:lastRenderedPageBreak/>
        <w:t>明了氮掺杂与低氧含量前驱体可提升石墨膜结晶质量和双向导热特性，其双向导热性能突破可为5G芯片、功率半导体等高功率器件热管理提供关键材料和技术支撑。</w:t>
      </w:r>
    </w:p>
    <w:p w14:paraId="17E15FF6" w14:textId="0BF0175A" w:rsidR="00337185" w:rsidRDefault="00000000">
      <w:pPr>
        <w:ind w:firstLineChars="200" w:firstLine="560"/>
        <w:rPr>
          <w:rFonts w:ascii="宋体" w:eastAsia="宋体" w:hAnsi="宋体" w:hint="eastAsia"/>
          <w:sz w:val="28"/>
          <w:szCs w:val="28"/>
        </w:rPr>
      </w:pPr>
      <w:r>
        <w:rPr>
          <w:rFonts w:ascii="宋体" w:eastAsia="宋体" w:hAnsi="宋体" w:hint="eastAsia"/>
          <w:sz w:val="28"/>
          <w:szCs w:val="28"/>
        </w:rPr>
        <w:t>芯片行业作为国内</w:t>
      </w:r>
      <w:r w:rsidR="00736DB0">
        <w:rPr>
          <w:rFonts w:ascii="宋体" w:eastAsia="宋体" w:hAnsi="宋体" w:hint="eastAsia"/>
          <w:sz w:val="28"/>
          <w:szCs w:val="28"/>
        </w:rPr>
        <w:t>主要</w:t>
      </w:r>
      <w:r>
        <w:rPr>
          <w:rFonts w:ascii="宋体" w:eastAsia="宋体" w:hAnsi="宋体" w:hint="eastAsia"/>
          <w:sz w:val="28"/>
          <w:szCs w:val="28"/>
        </w:rPr>
        <w:t>卡脖子行业，在美国对我实行半导体先进原材料、技术封锁下，以芳纶膜为前驱体的双向高导热石墨膜实现技术突破有利于我国加快实现半导体行业自主替代，进一步提高产业自给能力，减少进口依赖。</w:t>
      </w:r>
    </w:p>
    <w:p w14:paraId="3C2B2D05" w14:textId="77777777" w:rsidR="00337185" w:rsidRDefault="00337185">
      <w:pPr>
        <w:ind w:firstLineChars="200" w:firstLine="560"/>
        <w:rPr>
          <w:rFonts w:ascii="宋体" w:eastAsia="宋体" w:hAnsi="宋体" w:hint="eastAsia"/>
          <w:sz w:val="28"/>
          <w:szCs w:val="28"/>
        </w:rPr>
      </w:pPr>
    </w:p>
    <w:p w14:paraId="5F6AEBAF" w14:textId="77777777" w:rsidR="00337185" w:rsidRDefault="00000000">
      <w:pPr>
        <w:ind w:firstLineChars="200" w:firstLine="562"/>
        <w:rPr>
          <w:rFonts w:ascii="宋体" w:eastAsia="宋体" w:hAnsi="宋体" w:hint="eastAsia"/>
          <w:b/>
          <w:bCs/>
          <w:sz w:val="28"/>
          <w:szCs w:val="28"/>
          <w:u w:val="single"/>
        </w:rPr>
      </w:pPr>
      <w:r>
        <w:rPr>
          <w:rFonts w:ascii="宋体" w:eastAsia="宋体" w:hAnsi="宋体" w:hint="eastAsia"/>
          <w:b/>
          <w:bCs/>
          <w:sz w:val="28"/>
          <w:szCs w:val="28"/>
          <w:u w:val="single"/>
        </w:rPr>
        <w:t>三、建议</w:t>
      </w:r>
    </w:p>
    <w:p w14:paraId="23E094BC" w14:textId="0CCA2C47" w:rsidR="00337185" w:rsidRDefault="00000000">
      <w:pPr>
        <w:ind w:firstLineChars="200" w:firstLine="560"/>
        <w:rPr>
          <w:rFonts w:ascii="宋体" w:eastAsia="宋体" w:hAnsi="宋体" w:hint="eastAsia"/>
          <w:sz w:val="28"/>
          <w:szCs w:val="28"/>
        </w:rPr>
      </w:pPr>
      <w:r>
        <w:rPr>
          <w:rFonts w:ascii="宋体" w:eastAsia="宋体" w:hAnsi="宋体" w:hint="eastAsia"/>
          <w:sz w:val="28"/>
          <w:szCs w:val="28"/>
        </w:rPr>
        <w:t>市场流动性</w:t>
      </w:r>
      <w:r w:rsidR="003A1D03">
        <w:rPr>
          <w:rFonts w:ascii="宋体" w:eastAsia="宋体" w:hAnsi="宋体" w:hint="eastAsia"/>
          <w:sz w:val="28"/>
          <w:szCs w:val="28"/>
        </w:rPr>
        <w:t>迅速</w:t>
      </w:r>
      <w:r>
        <w:rPr>
          <w:rFonts w:ascii="宋体" w:eastAsia="宋体" w:hAnsi="宋体" w:hint="eastAsia"/>
          <w:sz w:val="28"/>
          <w:szCs w:val="28"/>
        </w:rPr>
        <w:t>放大，人形机器人、AI等高成长性高估值行业涨幅较大，石油石化、煤炭、有色金属（黄金等贵金属）、核污染防治等行业板块有所回调</w:t>
      </w:r>
      <w:r w:rsidR="003A1D03">
        <w:rPr>
          <w:rFonts w:ascii="宋体" w:eastAsia="宋体" w:hAnsi="宋体" w:hint="eastAsia"/>
          <w:sz w:val="28"/>
          <w:szCs w:val="28"/>
        </w:rPr>
        <w:t>。建议</w:t>
      </w:r>
      <w:r w:rsidR="003A1D03" w:rsidRPr="003A1D03">
        <w:rPr>
          <w:rFonts w:ascii="宋体" w:eastAsia="宋体" w:hAnsi="宋体"/>
          <w:sz w:val="28"/>
          <w:szCs w:val="28"/>
        </w:rPr>
        <w:t>把握白银等工业属性贵金属的补涨行情；</w:t>
      </w:r>
      <w:r>
        <w:rPr>
          <w:rFonts w:ascii="宋体" w:eastAsia="宋体" w:hAnsi="宋体" w:hint="eastAsia"/>
          <w:sz w:val="28"/>
          <w:szCs w:val="28"/>
        </w:rPr>
        <w:t>可关注</w:t>
      </w:r>
      <w:r w:rsidR="003A1D03">
        <w:rPr>
          <w:rFonts w:ascii="宋体" w:eastAsia="宋体" w:hAnsi="宋体" w:hint="eastAsia"/>
          <w:sz w:val="28"/>
          <w:szCs w:val="28"/>
        </w:rPr>
        <w:t>人形机器人、AI等高成长性高估值行业</w:t>
      </w:r>
      <w:r>
        <w:rPr>
          <w:rFonts w:ascii="宋体" w:eastAsia="宋体" w:hAnsi="宋体" w:hint="eastAsia"/>
          <w:sz w:val="28"/>
          <w:szCs w:val="28"/>
        </w:rPr>
        <w:t>等政策支持领域带来的</w:t>
      </w:r>
      <w:r w:rsidR="003A1D03">
        <w:rPr>
          <w:rFonts w:ascii="宋体" w:eastAsia="宋体" w:hAnsi="宋体" w:hint="eastAsia"/>
          <w:sz w:val="28"/>
          <w:szCs w:val="28"/>
        </w:rPr>
        <w:t>结构性机会，</w:t>
      </w:r>
      <w:r w:rsidR="003A1D03" w:rsidRPr="003A1D03">
        <w:rPr>
          <w:rFonts w:ascii="宋体" w:eastAsia="宋体" w:hAnsi="宋体"/>
          <w:sz w:val="28"/>
          <w:szCs w:val="28"/>
        </w:rPr>
        <w:t>但需警惕国际油价波动对能化板块的短期冲击。</w:t>
      </w:r>
    </w:p>
    <w:sectPr w:rsidR="003371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55865" w14:textId="77777777" w:rsidR="008801E0" w:rsidRDefault="008801E0">
      <w:pPr>
        <w:spacing w:line="240" w:lineRule="auto"/>
        <w:rPr>
          <w:rFonts w:hint="eastAsia"/>
        </w:rPr>
      </w:pPr>
      <w:r>
        <w:separator/>
      </w:r>
    </w:p>
  </w:endnote>
  <w:endnote w:type="continuationSeparator" w:id="0">
    <w:p w14:paraId="23008B71" w14:textId="77777777" w:rsidR="008801E0" w:rsidRDefault="008801E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5F922" w14:textId="77777777" w:rsidR="008801E0" w:rsidRDefault="008801E0">
      <w:pPr>
        <w:spacing w:after="0"/>
        <w:rPr>
          <w:rFonts w:hint="eastAsia"/>
        </w:rPr>
      </w:pPr>
      <w:r>
        <w:separator/>
      </w:r>
    </w:p>
  </w:footnote>
  <w:footnote w:type="continuationSeparator" w:id="0">
    <w:p w14:paraId="60973004" w14:textId="77777777" w:rsidR="008801E0" w:rsidRDefault="008801E0">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239E82"/>
    <w:multiLevelType w:val="singleLevel"/>
    <w:tmpl w:val="D7239E82"/>
    <w:lvl w:ilvl="0">
      <w:start w:val="2"/>
      <w:numFmt w:val="decimal"/>
      <w:lvlText w:val="%1."/>
      <w:lvlJc w:val="left"/>
      <w:pPr>
        <w:tabs>
          <w:tab w:val="left" w:pos="312"/>
        </w:tabs>
      </w:pPr>
    </w:lvl>
  </w:abstractNum>
  <w:abstractNum w:abstractNumId="1" w15:restartNumberingAfterBreak="0">
    <w:nsid w:val="6BFD0B1C"/>
    <w:multiLevelType w:val="multilevel"/>
    <w:tmpl w:val="6BFD0B1C"/>
    <w:lvl w:ilvl="0">
      <w:start w:val="1"/>
      <w:numFmt w:val="japaneseCounting"/>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120954215">
    <w:abstractNumId w:val="1"/>
  </w:num>
  <w:num w:numId="2" w16cid:durableId="835731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AD"/>
    <w:rsid w:val="00021135"/>
    <w:rsid w:val="000243C0"/>
    <w:rsid w:val="0003524F"/>
    <w:rsid w:val="00077781"/>
    <w:rsid w:val="00091DCE"/>
    <w:rsid w:val="000C6FD0"/>
    <w:rsid w:val="000C7145"/>
    <w:rsid w:val="001420C1"/>
    <w:rsid w:val="00150EA4"/>
    <w:rsid w:val="00154203"/>
    <w:rsid w:val="001E5AF5"/>
    <w:rsid w:val="0021168B"/>
    <w:rsid w:val="002B7D70"/>
    <w:rsid w:val="00327E46"/>
    <w:rsid w:val="00337185"/>
    <w:rsid w:val="003460AD"/>
    <w:rsid w:val="003A1D03"/>
    <w:rsid w:val="003A6FD4"/>
    <w:rsid w:val="003C4DE2"/>
    <w:rsid w:val="003D6423"/>
    <w:rsid w:val="00411C1B"/>
    <w:rsid w:val="00430D2F"/>
    <w:rsid w:val="004668D3"/>
    <w:rsid w:val="00494F71"/>
    <w:rsid w:val="004B3CE7"/>
    <w:rsid w:val="004E2C8F"/>
    <w:rsid w:val="004E32A3"/>
    <w:rsid w:val="004F7D2C"/>
    <w:rsid w:val="0052225D"/>
    <w:rsid w:val="0052254A"/>
    <w:rsid w:val="005252E4"/>
    <w:rsid w:val="00532999"/>
    <w:rsid w:val="005645CF"/>
    <w:rsid w:val="005D4656"/>
    <w:rsid w:val="0060755C"/>
    <w:rsid w:val="00645461"/>
    <w:rsid w:val="0068253D"/>
    <w:rsid w:val="00693F31"/>
    <w:rsid w:val="006B0511"/>
    <w:rsid w:val="006E181C"/>
    <w:rsid w:val="00736DB0"/>
    <w:rsid w:val="00742CD0"/>
    <w:rsid w:val="00761FDB"/>
    <w:rsid w:val="00781639"/>
    <w:rsid w:val="007A5D57"/>
    <w:rsid w:val="007B21F0"/>
    <w:rsid w:val="007C180D"/>
    <w:rsid w:val="008042B9"/>
    <w:rsid w:val="008302C4"/>
    <w:rsid w:val="00834123"/>
    <w:rsid w:val="008636F5"/>
    <w:rsid w:val="008801E0"/>
    <w:rsid w:val="0088237B"/>
    <w:rsid w:val="00883656"/>
    <w:rsid w:val="008A2CF8"/>
    <w:rsid w:val="008C1106"/>
    <w:rsid w:val="008F7D4A"/>
    <w:rsid w:val="00926349"/>
    <w:rsid w:val="00933812"/>
    <w:rsid w:val="009630DD"/>
    <w:rsid w:val="00976EE3"/>
    <w:rsid w:val="009779A8"/>
    <w:rsid w:val="009A0FB7"/>
    <w:rsid w:val="009D41C1"/>
    <w:rsid w:val="009D7852"/>
    <w:rsid w:val="009F11B5"/>
    <w:rsid w:val="00A35927"/>
    <w:rsid w:val="00A906F6"/>
    <w:rsid w:val="00AB3B45"/>
    <w:rsid w:val="00AE15DD"/>
    <w:rsid w:val="00AE7FC4"/>
    <w:rsid w:val="00B020C4"/>
    <w:rsid w:val="00B04EF7"/>
    <w:rsid w:val="00B25204"/>
    <w:rsid w:val="00B339E2"/>
    <w:rsid w:val="00B7049E"/>
    <w:rsid w:val="00B774EB"/>
    <w:rsid w:val="00B84C51"/>
    <w:rsid w:val="00BA1769"/>
    <w:rsid w:val="00C5100B"/>
    <w:rsid w:val="00C70AF9"/>
    <w:rsid w:val="00C81438"/>
    <w:rsid w:val="00CB7C25"/>
    <w:rsid w:val="00D133B3"/>
    <w:rsid w:val="00D43D51"/>
    <w:rsid w:val="00D677F7"/>
    <w:rsid w:val="00D81820"/>
    <w:rsid w:val="00DF18B1"/>
    <w:rsid w:val="00E35264"/>
    <w:rsid w:val="00E746DE"/>
    <w:rsid w:val="00E8092F"/>
    <w:rsid w:val="00E83DA0"/>
    <w:rsid w:val="00ED178B"/>
    <w:rsid w:val="00F331B9"/>
    <w:rsid w:val="00F36F17"/>
    <w:rsid w:val="00F963E8"/>
    <w:rsid w:val="00FA235F"/>
    <w:rsid w:val="00FE5E9B"/>
    <w:rsid w:val="0B174EDD"/>
    <w:rsid w:val="17F31AE2"/>
    <w:rsid w:val="3B5A188F"/>
    <w:rsid w:val="4F7800DE"/>
    <w:rsid w:val="64A73D65"/>
    <w:rsid w:val="77AA2D01"/>
    <w:rsid w:val="79EB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2B44C0"/>
  <w15:docId w15:val="{0B0B38B5-605C-4338-9C60-937C1F1F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3C3E-A846-4F34-8902-A6907A8FF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型俊 林</dc:creator>
  <cp:lastModifiedBy>Funk yankeen</cp:lastModifiedBy>
  <cp:revision>9</cp:revision>
  <dcterms:created xsi:type="dcterms:W3CDTF">2025-06-24T05:51:00Z</dcterms:created>
  <dcterms:modified xsi:type="dcterms:W3CDTF">2025-06-24T09:28:00Z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B63B171E943144C2A84CF6700413A5AF_12</vt:lpwstr>
  </property>
</Properties>
</file>