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93F4B" w14:textId="6D75AEBE" w:rsidR="00577007" w:rsidRDefault="00000000">
      <w:pPr>
        <w:jc w:val="center"/>
        <w:rPr>
          <w:rFonts w:ascii="宋体" w:eastAsia="宋体" w:hAnsi="宋体" w:hint="eastAsia"/>
          <w:b/>
          <w:bCs/>
          <w:sz w:val="32"/>
          <w:szCs w:val="32"/>
        </w:rPr>
      </w:pPr>
      <w:r>
        <w:rPr>
          <w:rFonts w:ascii="宋体" w:eastAsia="宋体" w:hAnsi="宋体" w:hint="eastAsia"/>
          <w:b/>
          <w:bCs/>
          <w:sz w:val="32"/>
          <w:szCs w:val="32"/>
        </w:rPr>
        <w:t>6月</w:t>
      </w:r>
      <w:r w:rsidR="008C5296">
        <w:rPr>
          <w:rFonts w:ascii="宋体" w:eastAsia="宋体" w:hAnsi="宋体" w:hint="eastAsia"/>
          <w:b/>
          <w:bCs/>
          <w:sz w:val="32"/>
          <w:szCs w:val="32"/>
        </w:rPr>
        <w:t>30</w:t>
      </w:r>
      <w:r>
        <w:rPr>
          <w:rFonts w:ascii="宋体" w:eastAsia="宋体" w:hAnsi="宋体" w:hint="eastAsia"/>
          <w:b/>
          <w:bCs/>
          <w:sz w:val="32"/>
          <w:szCs w:val="32"/>
        </w:rPr>
        <w:t>日行情复盘及市场要点</w:t>
      </w:r>
    </w:p>
    <w:p w14:paraId="2E9DEE3F" w14:textId="77777777" w:rsidR="00577007" w:rsidRDefault="00000000">
      <w:pPr>
        <w:pStyle w:val="af"/>
        <w:numPr>
          <w:ilvl w:val="0"/>
          <w:numId w:val="1"/>
        </w:numPr>
        <w:rPr>
          <w:rFonts w:ascii="宋体" w:eastAsia="宋体" w:hAnsi="宋体" w:hint="eastAsia"/>
          <w:b/>
          <w:bCs/>
          <w:sz w:val="28"/>
          <w:szCs w:val="28"/>
        </w:rPr>
      </w:pPr>
      <w:r>
        <w:rPr>
          <w:rFonts w:ascii="宋体" w:eastAsia="宋体" w:hAnsi="宋体" w:hint="eastAsia"/>
          <w:b/>
          <w:bCs/>
          <w:sz w:val="28"/>
          <w:szCs w:val="28"/>
        </w:rPr>
        <w:t>行情复盘</w:t>
      </w:r>
    </w:p>
    <w:p w14:paraId="7AE41576" w14:textId="35753076" w:rsidR="00071383" w:rsidRPr="00071383" w:rsidRDefault="00000000" w:rsidP="00071383">
      <w:pPr>
        <w:ind w:firstLineChars="200" w:firstLine="562"/>
        <w:rPr>
          <w:rFonts w:ascii="宋体" w:eastAsia="宋体" w:hAnsi="宋体" w:hint="eastAsia"/>
          <w:b/>
          <w:bCs/>
          <w:sz w:val="28"/>
          <w:szCs w:val="28"/>
        </w:rPr>
      </w:pPr>
      <w:r>
        <w:rPr>
          <w:rFonts w:ascii="宋体" w:eastAsia="宋体" w:hAnsi="宋体" w:hint="eastAsia"/>
          <w:b/>
          <w:bCs/>
          <w:sz w:val="28"/>
          <w:szCs w:val="28"/>
        </w:rPr>
        <w:t>2</w:t>
      </w:r>
      <w:r>
        <w:rPr>
          <w:rFonts w:ascii="宋体" w:eastAsia="宋体" w:hAnsi="宋体"/>
          <w:b/>
          <w:bCs/>
          <w:sz w:val="28"/>
          <w:szCs w:val="28"/>
        </w:rPr>
        <w:t>025年6月</w:t>
      </w:r>
      <w:r w:rsidR="008C5296">
        <w:rPr>
          <w:rFonts w:ascii="宋体" w:eastAsia="宋体" w:hAnsi="宋体" w:hint="eastAsia"/>
          <w:b/>
          <w:bCs/>
          <w:sz w:val="28"/>
          <w:szCs w:val="28"/>
        </w:rPr>
        <w:t>30</w:t>
      </w:r>
      <w:r>
        <w:rPr>
          <w:rFonts w:ascii="宋体" w:eastAsia="宋体" w:hAnsi="宋体"/>
          <w:b/>
          <w:bCs/>
          <w:sz w:val="28"/>
          <w:szCs w:val="28"/>
        </w:rPr>
        <w:t>日，A股市场</w:t>
      </w:r>
      <w:r w:rsidR="00DA4D7A">
        <w:rPr>
          <w:rFonts w:ascii="宋体" w:eastAsia="宋体" w:hAnsi="宋体" w:hint="eastAsia"/>
          <w:b/>
          <w:bCs/>
          <w:sz w:val="28"/>
          <w:szCs w:val="28"/>
        </w:rPr>
        <w:t>走强</w:t>
      </w:r>
      <w:r>
        <w:rPr>
          <w:rFonts w:ascii="宋体" w:eastAsia="宋体" w:hAnsi="宋体"/>
          <w:b/>
          <w:bCs/>
          <w:sz w:val="28"/>
          <w:szCs w:val="28"/>
        </w:rPr>
        <w:t>，</w:t>
      </w:r>
      <w:r w:rsidR="007970A4">
        <w:rPr>
          <w:rFonts w:ascii="宋体" w:eastAsia="宋体" w:hAnsi="宋体" w:hint="eastAsia"/>
          <w:b/>
          <w:bCs/>
          <w:sz w:val="28"/>
          <w:szCs w:val="28"/>
        </w:rPr>
        <w:t>其中</w:t>
      </w:r>
      <w:r>
        <w:rPr>
          <w:rFonts w:ascii="宋体" w:eastAsia="宋体" w:hAnsi="宋体"/>
          <w:b/>
          <w:bCs/>
          <w:sz w:val="28"/>
          <w:szCs w:val="28"/>
        </w:rPr>
        <w:t>沪指</w:t>
      </w:r>
      <w:r w:rsidR="00DA4D7A">
        <w:rPr>
          <w:rFonts w:ascii="宋体" w:eastAsia="宋体" w:hAnsi="宋体" w:hint="eastAsia"/>
          <w:b/>
          <w:bCs/>
          <w:sz w:val="28"/>
          <w:szCs w:val="28"/>
        </w:rPr>
        <w:t>上涨0.59</w:t>
      </w:r>
      <w:r>
        <w:rPr>
          <w:rFonts w:ascii="宋体" w:eastAsia="宋体" w:hAnsi="宋体"/>
          <w:b/>
          <w:bCs/>
          <w:sz w:val="28"/>
          <w:szCs w:val="28"/>
        </w:rPr>
        <w:t>%，报</w:t>
      </w:r>
      <w:r w:rsidR="00DA4D7A">
        <w:rPr>
          <w:rFonts w:ascii="宋体" w:eastAsia="宋体" w:hAnsi="宋体" w:hint="eastAsia"/>
          <w:b/>
          <w:bCs/>
          <w:sz w:val="28"/>
          <w:szCs w:val="28"/>
        </w:rPr>
        <w:t>3444.43</w:t>
      </w:r>
      <w:r>
        <w:rPr>
          <w:rFonts w:ascii="宋体" w:eastAsia="宋体" w:hAnsi="宋体"/>
          <w:b/>
          <w:bCs/>
          <w:sz w:val="28"/>
          <w:szCs w:val="28"/>
        </w:rPr>
        <w:t>点；深成指</w:t>
      </w:r>
      <w:r>
        <w:rPr>
          <w:rFonts w:ascii="宋体" w:eastAsia="宋体" w:hAnsi="宋体" w:hint="eastAsia"/>
          <w:b/>
          <w:bCs/>
          <w:sz w:val="28"/>
          <w:szCs w:val="28"/>
        </w:rPr>
        <w:t>上涨0</w:t>
      </w:r>
      <w:r w:rsidR="00DA4D7A">
        <w:rPr>
          <w:rFonts w:ascii="宋体" w:eastAsia="宋体" w:hAnsi="宋体" w:hint="eastAsia"/>
          <w:b/>
          <w:bCs/>
          <w:sz w:val="28"/>
          <w:szCs w:val="28"/>
        </w:rPr>
        <w:t>.83</w:t>
      </w:r>
      <w:r>
        <w:rPr>
          <w:rFonts w:ascii="宋体" w:eastAsia="宋体" w:hAnsi="宋体" w:hint="eastAsia"/>
          <w:b/>
          <w:bCs/>
          <w:sz w:val="28"/>
          <w:szCs w:val="28"/>
        </w:rPr>
        <w:t>%</w:t>
      </w:r>
      <w:r>
        <w:rPr>
          <w:rFonts w:ascii="宋体" w:eastAsia="宋体" w:hAnsi="宋体"/>
          <w:b/>
          <w:bCs/>
          <w:sz w:val="28"/>
          <w:szCs w:val="28"/>
        </w:rPr>
        <w:t>，报</w:t>
      </w:r>
      <w:r w:rsidR="00DA4D7A">
        <w:rPr>
          <w:rFonts w:ascii="宋体" w:eastAsia="宋体" w:hAnsi="宋体" w:hint="eastAsia"/>
          <w:b/>
          <w:bCs/>
          <w:sz w:val="28"/>
          <w:szCs w:val="28"/>
        </w:rPr>
        <w:t>10465.12</w:t>
      </w:r>
      <w:r>
        <w:rPr>
          <w:rFonts w:ascii="宋体" w:eastAsia="宋体" w:hAnsi="宋体"/>
          <w:b/>
          <w:bCs/>
          <w:sz w:val="28"/>
          <w:szCs w:val="28"/>
        </w:rPr>
        <w:t>点；创业板指</w:t>
      </w:r>
      <w:r>
        <w:rPr>
          <w:rFonts w:ascii="宋体" w:eastAsia="宋体" w:hAnsi="宋体" w:hint="eastAsia"/>
          <w:b/>
          <w:bCs/>
          <w:sz w:val="28"/>
          <w:szCs w:val="28"/>
        </w:rPr>
        <w:t>涨</w:t>
      </w:r>
      <w:r w:rsidR="00DA4D7A">
        <w:rPr>
          <w:rFonts w:ascii="宋体" w:eastAsia="宋体" w:hAnsi="宋体" w:hint="eastAsia"/>
          <w:b/>
          <w:bCs/>
          <w:sz w:val="28"/>
          <w:szCs w:val="28"/>
        </w:rPr>
        <w:t>1.35</w:t>
      </w:r>
      <w:r>
        <w:rPr>
          <w:rFonts w:ascii="宋体" w:eastAsia="宋体" w:hAnsi="宋体"/>
          <w:b/>
          <w:bCs/>
          <w:sz w:val="28"/>
          <w:szCs w:val="28"/>
        </w:rPr>
        <w:t>%，报</w:t>
      </w:r>
      <w:r w:rsidR="00DA4D7A">
        <w:rPr>
          <w:rFonts w:ascii="宋体" w:eastAsia="宋体" w:hAnsi="宋体" w:hint="eastAsia"/>
          <w:b/>
          <w:bCs/>
          <w:sz w:val="28"/>
          <w:szCs w:val="28"/>
        </w:rPr>
        <w:t>2153.01</w:t>
      </w:r>
      <w:r>
        <w:rPr>
          <w:rFonts w:ascii="宋体" w:eastAsia="宋体" w:hAnsi="宋体"/>
          <w:b/>
          <w:bCs/>
          <w:sz w:val="28"/>
          <w:szCs w:val="28"/>
        </w:rPr>
        <w:t>点。全A上涨个股</w:t>
      </w:r>
      <w:r w:rsidR="00DA4D7A">
        <w:rPr>
          <w:rFonts w:ascii="宋体" w:eastAsia="宋体" w:hAnsi="宋体" w:hint="eastAsia"/>
          <w:b/>
          <w:bCs/>
          <w:sz w:val="28"/>
          <w:szCs w:val="28"/>
        </w:rPr>
        <w:t>4054</w:t>
      </w:r>
      <w:r>
        <w:rPr>
          <w:rFonts w:ascii="宋体" w:eastAsia="宋体" w:hAnsi="宋体"/>
          <w:b/>
          <w:bCs/>
          <w:sz w:val="28"/>
          <w:szCs w:val="28"/>
        </w:rPr>
        <w:t>只，下跌个股</w:t>
      </w:r>
      <w:r w:rsidR="00DA4D7A">
        <w:rPr>
          <w:rFonts w:ascii="宋体" w:eastAsia="宋体" w:hAnsi="宋体" w:hint="eastAsia"/>
          <w:b/>
          <w:bCs/>
          <w:sz w:val="28"/>
          <w:szCs w:val="28"/>
        </w:rPr>
        <w:t>1126</w:t>
      </w:r>
      <w:r>
        <w:rPr>
          <w:rFonts w:ascii="宋体" w:eastAsia="宋体" w:hAnsi="宋体"/>
          <w:b/>
          <w:bCs/>
          <w:sz w:val="28"/>
          <w:szCs w:val="28"/>
        </w:rPr>
        <w:t>只，</w:t>
      </w:r>
      <w:r>
        <w:rPr>
          <w:rFonts w:ascii="宋体" w:eastAsia="宋体" w:hAnsi="宋体" w:hint="eastAsia"/>
          <w:b/>
          <w:bCs/>
          <w:sz w:val="28"/>
          <w:szCs w:val="28"/>
        </w:rPr>
        <w:t>平盘</w:t>
      </w:r>
      <w:r w:rsidR="00DA4D7A">
        <w:rPr>
          <w:rFonts w:ascii="宋体" w:eastAsia="宋体" w:hAnsi="宋体" w:hint="eastAsia"/>
          <w:b/>
          <w:bCs/>
          <w:sz w:val="28"/>
          <w:szCs w:val="28"/>
        </w:rPr>
        <w:t>237</w:t>
      </w:r>
      <w:r>
        <w:rPr>
          <w:rFonts w:ascii="宋体" w:eastAsia="宋体" w:hAnsi="宋体" w:hint="eastAsia"/>
          <w:b/>
          <w:bCs/>
          <w:sz w:val="28"/>
          <w:szCs w:val="28"/>
        </w:rPr>
        <w:t>只。</w:t>
      </w:r>
      <w:r>
        <w:rPr>
          <w:rFonts w:ascii="宋体" w:eastAsia="宋体" w:hAnsi="宋体"/>
          <w:b/>
          <w:bCs/>
          <w:sz w:val="28"/>
          <w:szCs w:val="28"/>
        </w:rPr>
        <w:t>A股当日总成交额为</w:t>
      </w:r>
      <w:r w:rsidR="00DA4D7A">
        <w:rPr>
          <w:rFonts w:ascii="宋体" w:eastAsia="宋体" w:hAnsi="宋体" w:hint="eastAsia"/>
          <w:b/>
          <w:bCs/>
          <w:sz w:val="28"/>
          <w:szCs w:val="28"/>
        </w:rPr>
        <w:t>15176</w:t>
      </w:r>
      <w:r>
        <w:rPr>
          <w:rFonts w:ascii="宋体" w:eastAsia="宋体" w:hAnsi="宋体"/>
          <w:b/>
          <w:bCs/>
          <w:sz w:val="28"/>
          <w:szCs w:val="28"/>
        </w:rPr>
        <w:t>亿元，较上一交易日</w:t>
      </w:r>
      <w:r w:rsidR="007970A4">
        <w:rPr>
          <w:rFonts w:ascii="宋体" w:eastAsia="宋体" w:hAnsi="宋体" w:hint="eastAsia"/>
          <w:b/>
          <w:bCs/>
          <w:sz w:val="28"/>
          <w:szCs w:val="28"/>
        </w:rPr>
        <w:t>缩量</w:t>
      </w:r>
      <w:r w:rsidR="00DA4D7A">
        <w:rPr>
          <w:rFonts w:ascii="宋体" w:eastAsia="宋体" w:hAnsi="宋体" w:hint="eastAsia"/>
          <w:b/>
          <w:bCs/>
          <w:sz w:val="28"/>
          <w:szCs w:val="28"/>
        </w:rPr>
        <w:t>584</w:t>
      </w:r>
      <w:r>
        <w:rPr>
          <w:rFonts w:ascii="宋体" w:eastAsia="宋体" w:hAnsi="宋体"/>
          <w:b/>
          <w:bCs/>
          <w:sz w:val="28"/>
          <w:szCs w:val="28"/>
        </w:rPr>
        <w:t>亿元，市场</w:t>
      </w:r>
      <w:r>
        <w:rPr>
          <w:rFonts w:ascii="宋体" w:eastAsia="宋体" w:hAnsi="宋体" w:hint="eastAsia"/>
          <w:b/>
          <w:bCs/>
          <w:sz w:val="28"/>
          <w:szCs w:val="28"/>
        </w:rPr>
        <w:t>交易活跃</w:t>
      </w:r>
      <w:r w:rsidR="00DA4D7A">
        <w:rPr>
          <w:rFonts w:ascii="宋体" w:eastAsia="宋体" w:hAnsi="宋体" w:hint="eastAsia"/>
          <w:b/>
          <w:bCs/>
          <w:sz w:val="28"/>
          <w:szCs w:val="28"/>
        </w:rPr>
        <w:t>态势持续</w:t>
      </w:r>
      <w:r>
        <w:rPr>
          <w:rFonts w:ascii="宋体" w:eastAsia="宋体" w:hAnsi="宋体"/>
          <w:b/>
          <w:bCs/>
          <w:sz w:val="28"/>
          <w:szCs w:val="28"/>
        </w:rPr>
        <w:t>。行业板块</w:t>
      </w:r>
      <w:r w:rsidR="008B3DE5">
        <w:rPr>
          <w:rFonts w:ascii="宋体" w:eastAsia="宋体" w:hAnsi="宋体" w:hint="eastAsia"/>
          <w:b/>
          <w:bCs/>
          <w:sz w:val="28"/>
          <w:szCs w:val="28"/>
        </w:rPr>
        <w:t>普涨</w:t>
      </w:r>
      <w:r w:rsidR="007970A4">
        <w:rPr>
          <w:rFonts w:ascii="宋体" w:eastAsia="宋体" w:hAnsi="宋体" w:hint="eastAsia"/>
          <w:b/>
          <w:bCs/>
          <w:sz w:val="28"/>
          <w:szCs w:val="28"/>
        </w:rPr>
        <w:t>，</w:t>
      </w:r>
      <w:r>
        <w:rPr>
          <w:rFonts w:ascii="宋体" w:eastAsia="宋体" w:hAnsi="宋体" w:hint="eastAsia"/>
          <w:b/>
          <w:bCs/>
          <w:sz w:val="28"/>
          <w:szCs w:val="28"/>
        </w:rPr>
        <w:t>涨幅</w:t>
      </w:r>
      <w:r>
        <w:rPr>
          <w:rFonts w:ascii="宋体" w:eastAsia="宋体" w:hAnsi="宋体"/>
          <w:b/>
          <w:bCs/>
          <w:sz w:val="28"/>
          <w:szCs w:val="28"/>
        </w:rPr>
        <w:t>较大的包括</w:t>
      </w:r>
      <w:r w:rsidR="008B3DE5">
        <w:rPr>
          <w:rFonts w:ascii="宋体" w:eastAsia="宋体" w:hAnsi="宋体" w:hint="eastAsia"/>
          <w:b/>
          <w:bCs/>
          <w:sz w:val="28"/>
          <w:szCs w:val="28"/>
        </w:rPr>
        <w:t>国防军工</w:t>
      </w:r>
      <w:r>
        <w:rPr>
          <w:rFonts w:ascii="宋体" w:eastAsia="宋体" w:hAnsi="宋体"/>
          <w:b/>
          <w:bCs/>
          <w:sz w:val="28"/>
          <w:szCs w:val="28"/>
        </w:rPr>
        <w:t>、</w:t>
      </w:r>
      <w:r w:rsidR="008B3DE5">
        <w:rPr>
          <w:rFonts w:ascii="宋体" w:eastAsia="宋体" w:hAnsi="宋体" w:hint="eastAsia"/>
          <w:b/>
          <w:bCs/>
          <w:sz w:val="28"/>
          <w:szCs w:val="28"/>
        </w:rPr>
        <w:t>传媒</w:t>
      </w:r>
      <w:r>
        <w:rPr>
          <w:rFonts w:ascii="宋体" w:eastAsia="宋体" w:hAnsi="宋体"/>
          <w:b/>
          <w:bCs/>
          <w:sz w:val="28"/>
          <w:szCs w:val="28"/>
        </w:rPr>
        <w:t>、</w:t>
      </w:r>
      <w:r w:rsidR="008B3DE5">
        <w:rPr>
          <w:rFonts w:ascii="宋体" w:eastAsia="宋体" w:hAnsi="宋体" w:hint="eastAsia"/>
          <w:b/>
          <w:bCs/>
          <w:sz w:val="28"/>
          <w:szCs w:val="28"/>
        </w:rPr>
        <w:t>综合金融、通信</w:t>
      </w:r>
      <w:r>
        <w:rPr>
          <w:rFonts w:ascii="宋体" w:eastAsia="宋体" w:hAnsi="宋体"/>
          <w:b/>
          <w:bCs/>
          <w:sz w:val="28"/>
          <w:szCs w:val="28"/>
        </w:rPr>
        <w:t>。</w:t>
      </w:r>
      <w:r w:rsidR="008B3DE5">
        <w:rPr>
          <w:rFonts w:ascii="宋体" w:eastAsia="宋体" w:hAnsi="宋体" w:hint="eastAsia"/>
          <w:b/>
          <w:bCs/>
          <w:sz w:val="28"/>
          <w:szCs w:val="28"/>
        </w:rPr>
        <w:t>受国际局势影响，周期板块中的石油化工等行业止跌回正。科技</w:t>
      </w:r>
      <w:r w:rsidR="007970A4">
        <w:rPr>
          <w:rFonts w:ascii="宋体" w:eastAsia="宋体" w:hAnsi="宋体" w:hint="eastAsia"/>
          <w:b/>
          <w:bCs/>
          <w:sz w:val="28"/>
          <w:szCs w:val="28"/>
        </w:rPr>
        <w:t>板块整体走</w:t>
      </w:r>
      <w:r w:rsidR="008B3DE5">
        <w:rPr>
          <w:rFonts w:ascii="宋体" w:eastAsia="宋体" w:hAnsi="宋体" w:hint="eastAsia"/>
          <w:b/>
          <w:bCs/>
          <w:sz w:val="28"/>
          <w:szCs w:val="28"/>
        </w:rPr>
        <w:t>强</w:t>
      </w:r>
      <w:r w:rsidR="007970A4">
        <w:rPr>
          <w:rFonts w:ascii="宋体" w:eastAsia="宋体" w:hAnsi="宋体" w:hint="eastAsia"/>
          <w:b/>
          <w:bCs/>
          <w:sz w:val="28"/>
          <w:szCs w:val="28"/>
        </w:rPr>
        <w:t>，制造</w:t>
      </w:r>
      <w:r w:rsidR="00216821">
        <w:rPr>
          <w:rFonts w:ascii="宋体" w:eastAsia="宋体" w:hAnsi="宋体" w:hint="eastAsia"/>
          <w:b/>
          <w:bCs/>
          <w:sz w:val="28"/>
          <w:szCs w:val="28"/>
        </w:rPr>
        <w:t>板块</w:t>
      </w:r>
      <w:r w:rsidR="007970A4">
        <w:rPr>
          <w:rFonts w:ascii="宋体" w:eastAsia="宋体" w:hAnsi="宋体" w:hint="eastAsia"/>
          <w:b/>
          <w:bCs/>
          <w:sz w:val="28"/>
          <w:szCs w:val="28"/>
        </w:rPr>
        <w:t>上涨势头持续。</w:t>
      </w:r>
      <w:r>
        <w:rPr>
          <w:rFonts w:ascii="宋体" w:eastAsia="宋体" w:hAnsi="宋体" w:hint="eastAsia"/>
          <w:b/>
          <w:bCs/>
          <w:sz w:val="28"/>
          <w:szCs w:val="28"/>
        </w:rPr>
        <w:t>三大主题指数方面，</w:t>
      </w:r>
      <w:r w:rsidR="00EE6E76">
        <w:rPr>
          <w:rFonts w:ascii="宋体" w:eastAsia="宋体" w:hAnsi="宋体" w:hint="eastAsia"/>
          <w:b/>
          <w:bCs/>
          <w:sz w:val="28"/>
          <w:szCs w:val="28"/>
        </w:rPr>
        <w:t>人工智能指数</w:t>
      </w:r>
      <w:r w:rsidR="008B3DE5">
        <w:rPr>
          <w:rFonts w:ascii="宋体" w:eastAsia="宋体" w:hAnsi="宋体" w:hint="eastAsia"/>
          <w:b/>
          <w:bCs/>
          <w:sz w:val="28"/>
          <w:szCs w:val="28"/>
        </w:rPr>
        <w:t>领涨1.62%，核心资产指数与中特估指数分别上涨0.77%与0.32%，</w:t>
      </w:r>
      <w:r w:rsidR="00071383" w:rsidRPr="00071383">
        <w:rPr>
          <w:rFonts w:ascii="宋体" w:eastAsia="宋体" w:hAnsi="宋体"/>
          <w:b/>
          <w:bCs/>
          <w:sz w:val="28"/>
          <w:szCs w:val="28"/>
        </w:rPr>
        <w:t>成长板块占优，反映市场风险偏好提升</w:t>
      </w:r>
      <w:r w:rsidR="00071383">
        <w:rPr>
          <w:rFonts w:ascii="宋体" w:eastAsia="宋体" w:hAnsi="宋体" w:hint="eastAsia"/>
          <w:b/>
          <w:bCs/>
          <w:sz w:val="28"/>
          <w:szCs w:val="28"/>
        </w:rPr>
        <w:t>。</w:t>
      </w:r>
    </w:p>
    <w:p w14:paraId="49ACCE11" w14:textId="412B112C" w:rsidR="00577007" w:rsidRDefault="00000000">
      <w:pPr>
        <w:ind w:firstLineChars="200" w:firstLine="562"/>
        <w:rPr>
          <w:rFonts w:ascii="宋体" w:eastAsia="宋体" w:hAnsi="宋体" w:hint="eastAsia"/>
          <w:sz w:val="28"/>
          <w:szCs w:val="28"/>
        </w:rPr>
      </w:pPr>
      <w:r>
        <w:rPr>
          <w:rFonts w:ascii="宋体" w:eastAsia="宋体" w:hAnsi="宋体"/>
          <w:b/>
          <w:bCs/>
          <w:sz w:val="28"/>
          <w:szCs w:val="28"/>
        </w:rPr>
        <w:t>从基差视角来看，2025年6月</w:t>
      </w:r>
      <w:r w:rsidR="008C5296">
        <w:rPr>
          <w:rFonts w:ascii="宋体" w:eastAsia="宋体" w:hAnsi="宋体" w:hint="eastAsia"/>
          <w:b/>
          <w:bCs/>
          <w:sz w:val="28"/>
          <w:szCs w:val="28"/>
        </w:rPr>
        <w:t>30</w:t>
      </w:r>
      <w:r>
        <w:rPr>
          <w:rFonts w:ascii="宋体" w:eastAsia="宋体" w:hAnsi="宋体"/>
          <w:b/>
          <w:bCs/>
          <w:sz w:val="28"/>
          <w:szCs w:val="28"/>
        </w:rPr>
        <w:t>日股指期货合约</w:t>
      </w:r>
      <w:r>
        <w:rPr>
          <w:rFonts w:ascii="宋体" w:eastAsia="宋体" w:hAnsi="宋体" w:hint="eastAsia"/>
          <w:b/>
          <w:bCs/>
          <w:sz w:val="28"/>
          <w:szCs w:val="28"/>
        </w:rPr>
        <w:t>均</w:t>
      </w:r>
      <w:r>
        <w:rPr>
          <w:rFonts w:ascii="宋体" w:eastAsia="宋体" w:hAnsi="宋体"/>
          <w:b/>
          <w:bCs/>
          <w:sz w:val="28"/>
          <w:szCs w:val="28"/>
        </w:rPr>
        <w:t>呈现升水状态</w:t>
      </w:r>
      <w:r w:rsidR="00EE6E76">
        <w:rPr>
          <w:rFonts w:ascii="宋体" w:eastAsia="宋体" w:hAnsi="宋体" w:hint="eastAsia"/>
          <w:b/>
          <w:bCs/>
          <w:sz w:val="28"/>
          <w:szCs w:val="28"/>
        </w:rPr>
        <w:t>。</w:t>
      </w:r>
      <w:r w:rsidR="00071383">
        <w:rPr>
          <w:rFonts w:ascii="宋体" w:eastAsia="宋体" w:hAnsi="宋体" w:hint="eastAsia"/>
          <w:b/>
          <w:bCs/>
          <w:sz w:val="28"/>
          <w:szCs w:val="28"/>
        </w:rPr>
        <w:t>中盘与中小盘IM，IC的合约升水大幅扩张，体现出</w:t>
      </w:r>
      <w:r w:rsidR="00071383" w:rsidRPr="00071383">
        <w:rPr>
          <w:rFonts w:ascii="宋体" w:eastAsia="宋体" w:hAnsi="宋体"/>
          <w:b/>
          <w:bCs/>
          <w:sz w:val="28"/>
          <w:szCs w:val="28"/>
        </w:rPr>
        <w:t>市场对中小盘股的乐观情绪</w:t>
      </w:r>
      <w:r w:rsidR="00071383">
        <w:rPr>
          <w:rFonts w:ascii="宋体" w:eastAsia="宋体" w:hAnsi="宋体" w:hint="eastAsia"/>
          <w:b/>
          <w:bCs/>
          <w:sz w:val="28"/>
          <w:szCs w:val="28"/>
        </w:rPr>
        <w:t>。IH升水小幅收敛，IF升水较为平稳</w:t>
      </w:r>
      <w:r w:rsidR="00EE6E76">
        <w:rPr>
          <w:rFonts w:ascii="宋体" w:eastAsia="宋体" w:hAnsi="宋体" w:hint="eastAsia"/>
          <w:b/>
          <w:bCs/>
          <w:sz w:val="28"/>
          <w:szCs w:val="28"/>
        </w:rPr>
        <w:t>。</w:t>
      </w:r>
      <w:r w:rsidR="004A4A23" w:rsidRPr="004A4A23">
        <w:rPr>
          <w:rFonts w:ascii="宋体" w:eastAsia="宋体" w:hAnsi="宋体"/>
          <w:b/>
          <w:bCs/>
          <w:sz w:val="28"/>
          <w:szCs w:val="28"/>
        </w:rPr>
        <w:t>大盘股情绪偏谨慎</w:t>
      </w:r>
      <w:r w:rsidR="004A4A23">
        <w:rPr>
          <w:rFonts w:ascii="宋体" w:eastAsia="宋体" w:hAnsi="宋体" w:hint="eastAsia"/>
          <w:b/>
          <w:bCs/>
          <w:sz w:val="28"/>
          <w:szCs w:val="28"/>
        </w:rPr>
        <w:t>，而</w:t>
      </w:r>
      <w:r w:rsidR="004A4A23" w:rsidRPr="004A4A23">
        <w:rPr>
          <w:rFonts w:ascii="宋体" w:eastAsia="宋体" w:hAnsi="宋体"/>
          <w:b/>
          <w:bCs/>
          <w:sz w:val="28"/>
          <w:szCs w:val="28"/>
        </w:rPr>
        <w:t>沪深300情绪中性均衡</w:t>
      </w:r>
      <w:r w:rsidR="004A4A23">
        <w:rPr>
          <w:rFonts w:ascii="宋体" w:eastAsia="宋体" w:hAnsi="宋体" w:hint="eastAsia"/>
          <w:b/>
          <w:bCs/>
          <w:sz w:val="28"/>
          <w:szCs w:val="28"/>
        </w:rPr>
        <w:t>。</w:t>
      </w:r>
      <w:r w:rsidR="004A4A23" w:rsidRPr="004A4A23">
        <w:rPr>
          <w:rFonts w:ascii="宋体" w:eastAsia="宋体" w:hAnsi="宋体"/>
          <w:b/>
          <w:bCs/>
          <w:sz w:val="28"/>
          <w:szCs w:val="28"/>
        </w:rPr>
        <w:t>市场风险偏好明显向中小盘倾斜，投资者对中小盘股下半年表现抱有较强上涨预期，并倾向于通过远月合约布局。</w:t>
      </w:r>
    </w:p>
    <w:p w14:paraId="056A483B" w14:textId="77777777" w:rsidR="00577007" w:rsidRDefault="00577007">
      <w:pPr>
        <w:ind w:firstLineChars="200" w:firstLine="560"/>
        <w:rPr>
          <w:rFonts w:ascii="宋体" w:eastAsia="宋体" w:hAnsi="宋体" w:hint="eastAsia"/>
          <w:sz w:val="28"/>
          <w:szCs w:val="28"/>
        </w:rPr>
      </w:pPr>
    </w:p>
    <w:p w14:paraId="5961C20B" w14:textId="77777777" w:rsidR="00577007" w:rsidRDefault="00000000">
      <w:pPr>
        <w:pStyle w:val="af"/>
        <w:numPr>
          <w:ilvl w:val="0"/>
          <w:numId w:val="1"/>
        </w:numPr>
        <w:rPr>
          <w:rFonts w:ascii="宋体" w:eastAsia="宋体" w:hAnsi="宋体" w:hint="eastAsia"/>
          <w:sz w:val="28"/>
          <w:szCs w:val="28"/>
        </w:rPr>
      </w:pPr>
      <w:r>
        <w:rPr>
          <w:rFonts w:ascii="宋体" w:eastAsia="宋体" w:hAnsi="宋体" w:hint="eastAsia"/>
          <w:sz w:val="28"/>
          <w:szCs w:val="28"/>
        </w:rPr>
        <w:t>市场要点</w:t>
      </w:r>
    </w:p>
    <w:p w14:paraId="165E0C32" w14:textId="77777777" w:rsidR="00577007" w:rsidRDefault="00577007">
      <w:pPr>
        <w:pStyle w:val="af"/>
        <w:ind w:left="0"/>
        <w:rPr>
          <w:rFonts w:ascii="宋体" w:eastAsia="宋体" w:hAnsi="宋体" w:hint="eastAsia"/>
          <w:sz w:val="28"/>
          <w:szCs w:val="28"/>
        </w:rPr>
      </w:pPr>
      <w:bookmarkStart w:id="0" w:name="OLE_LINK7"/>
    </w:p>
    <w:p w14:paraId="310698BB" w14:textId="4DC52429" w:rsidR="00577007" w:rsidRDefault="00000000">
      <w:pPr>
        <w:rPr>
          <w:rFonts w:ascii="宋体" w:eastAsia="宋体" w:hAnsi="宋体" w:cs="Times New Roman" w:hint="eastAsia"/>
          <w:b/>
          <w:bCs/>
          <w:sz w:val="28"/>
          <w:szCs w:val="28"/>
        </w:rPr>
      </w:pPr>
      <w:r>
        <w:rPr>
          <w:rFonts w:ascii="宋体" w:eastAsia="宋体" w:hAnsi="宋体" w:cs="Times New Roman" w:hint="eastAsia"/>
          <w:b/>
          <w:bCs/>
          <w:sz w:val="28"/>
          <w:szCs w:val="28"/>
        </w:rPr>
        <w:lastRenderedPageBreak/>
        <w:t>1.</w:t>
      </w:r>
      <w:r w:rsidR="00073A49" w:rsidRPr="00073A49">
        <w:rPr>
          <w:rFonts w:ascii="宋体" w:eastAsia="宋体" w:hAnsi="宋体" w:cs="Times New Roman"/>
          <w:b/>
          <w:bCs/>
          <w:sz w:val="28"/>
          <w:szCs w:val="28"/>
        </w:rPr>
        <w:t>特朗普拒延关税谈判期限 炮轰美联储</w:t>
      </w:r>
    </w:p>
    <w:p w14:paraId="44EACC68" w14:textId="4A241DDE" w:rsidR="00073A49" w:rsidRDefault="00073A49">
      <w:pPr>
        <w:ind w:firstLineChars="200" w:firstLine="560"/>
        <w:rPr>
          <w:rFonts w:ascii="宋体" w:eastAsia="宋体" w:hAnsi="宋体" w:cs="Times New Roman" w:hint="eastAsia"/>
          <w:sz w:val="28"/>
          <w:szCs w:val="28"/>
        </w:rPr>
      </w:pPr>
      <w:bookmarkStart w:id="1" w:name="OLE_LINK2"/>
      <w:r w:rsidRPr="00073A49">
        <w:rPr>
          <w:rFonts w:ascii="宋体" w:eastAsia="宋体" w:hAnsi="宋体" w:cs="Times New Roman" w:hint="eastAsia"/>
          <w:sz w:val="28"/>
          <w:szCs w:val="28"/>
        </w:rPr>
        <w:t>美国总统特朗普表示，他认为自己不需要延长此前为各国设定的7月9日最后期限，以促使它们与美国达成协议，从而避免更高的关税。特朗普指责美联储主席鲍威尔人为地把利率维持在高位，并表示利率应当只有当前水平的一半甚至更低。</w:t>
      </w:r>
    </w:p>
    <w:p w14:paraId="4C9D0E75" w14:textId="6B2A882A" w:rsidR="00577007" w:rsidRDefault="00073A49">
      <w:pPr>
        <w:ind w:firstLineChars="200" w:firstLine="560"/>
        <w:rPr>
          <w:rFonts w:ascii="宋体" w:eastAsia="宋体" w:hAnsi="宋体" w:cs="Times New Roman" w:hint="eastAsia"/>
          <w:sz w:val="28"/>
          <w:szCs w:val="28"/>
        </w:rPr>
      </w:pPr>
      <w:r w:rsidRPr="00073A49">
        <w:rPr>
          <w:rFonts w:ascii="宋体" w:eastAsia="宋体" w:hAnsi="宋体" w:cs="Times New Roman"/>
          <w:sz w:val="28"/>
          <w:szCs w:val="28"/>
        </w:rPr>
        <w:t>特朗普的强硬表态再次凸显其"美国优先"政策</w:t>
      </w:r>
      <w:r>
        <w:rPr>
          <w:rFonts w:ascii="宋体" w:eastAsia="宋体" w:hAnsi="宋体" w:cs="Times New Roman" w:hint="eastAsia"/>
          <w:sz w:val="28"/>
          <w:szCs w:val="28"/>
        </w:rPr>
        <w:t>。</w:t>
      </w:r>
      <w:r w:rsidRPr="00073A49">
        <w:rPr>
          <w:rFonts w:ascii="宋体" w:eastAsia="宋体" w:hAnsi="宋体" w:cs="Times New Roman"/>
          <w:sz w:val="28"/>
          <w:szCs w:val="28"/>
        </w:rPr>
        <w:t>一方面，这种极限施压策略虽可能短期迫使贸易伙伴妥协，但也加剧全球市场不确定性；另一方面，其将潜在经济风险归咎于货币政策，既迎合选民对低利率的期待，又回避自身贸易战对经济的反噬效应。这种</w:t>
      </w:r>
      <w:r>
        <w:rPr>
          <w:rFonts w:ascii="宋体" w:eastAsia="宋体" w:hAnsi="宋体" w:cs="Times New Roman" w:hint="eastAsia"/>
          <w:sz w:val="28"/>
          <w:szCs w:val="28"/>
        </w:rPr>
        <w:t>做法</w:t>
      </w:r>
      <w:r w:rsidRPr="00073A49">
        <w:rPr>
          <w:rFonts w:ascii="宋体" w:eastAsia="宋体" w:hAnsi="宋体" w:cs="Times New Roman"/>
          <w:sz w:val="28"/>
          <w:szCs w:val="28"/>
        </w:rPr>
        <w:t>可能进一步削弱美联储独立性，长远来看恐加剧美国经济政策的内耗。</w:t>
      </w:r>
      <w:r>
        <w:rPr>
          <w:rFonts w:ascii="宋体" w:eastAsia="宋体" w:hAnsi="宋体" w:cs="Times New Roman" w:hint="eastAsia"/>
          <w:sz w:val="28"/>
          <w:szCs w:val="28"/>
        </w:rPr>
        <w:t>。</w:t>
      </w:r>
    </w:p>
    <w:p w14:paraId="40407DD0" w14:textId="3258AD23" w:rsidR="00577007" w:rsidRDefault="00000000">
      <w:pPr>
        <w:ind w:firstLineChars="200" w:firstLine="562"/>
        <w:rPr>
          <w:rFonts w:ascii="宋体" w:eastAsia="宋体" w:hAnsi="宋体" w:hint="eastAsia"/>
          <w:b/>
          <w:bCs/>
          <w:sz w:val="28"/>
          <w:szCs w:val="28"/>
        </w:rPr>
      </w:pPr>
      <w:r>
        <w:rPr>
          <w:rFonts w:ascii="宋体" w:eastAsia="宋体" w:hAnsi="宋体" w:hint="eastAsia"/>
          <w:b/>
          <w:bCs/>
          <w:sz w:val="28"/>
          <w:szCs w:val="28"/>
        </w:rPr>
        <w:t>2.</w:t>
      </w:r>
      <w:r w:rsidR="00073A49" w:rsidRPr="00073A49">
        <w:rPr>
          <w:rFonts w:ascii="宋体" w:eastAsia="宋体" w:hAnsi="宋体"/>
          <w:b/>
          <w:bCs/>
          <w:sz w:val="28"/>
          <w:szCs w:val="28"/>
        </w:rPr>
        <w:t>美参议院通过程序性动议 特朗普"大而美"税支法案迈关键一步</w:t>
      </w:r>
    </w:p>
    <w:p w14:paraId="40C4F5AC" w14:textId="77777777" w:rsidR="00073A49" w:rsidRDefault="00073A49">
      <w:pPr>
        <w:ind w:firstLineChars="200" w:firstLine="560"/>
        <w:rPr>
          <w:rFonts w:ascii="宋体" w:eastAsia="宋体" w:hAnsi="宋体" w:hint="eastAsia"/>
          <w:sz w:val="28"/>
          <w:szCs w:val="28"/>
        </w:rPr>
      </w:pPr>
      <w:r w:rsidRPr="00073A49">
        <w:rPr>
          <w:rFonts w:ascii="宋体" w:eastAsia="宋体" w:hAnsi="宋体" w:hint="eastAsia"/>
          <w:sz w:val="28"/>
          <w:szCs w:val="28"/>
        </w:rPr>
        <w:t>当地时间6月28日，美国参议院以51对49的票数比通过一项程序性动议，这项动议旨在推进被美国总统特朗普称为“大而美”的大规模税收与支出法案。美国参议院程序性投票通过后，未来几天法案通过的可能性增加。</w:t>
      </w:r>
    </w:p>
    <w:p w14:paraId="550833FC" w14:textId="6F8DF668" w:rsidR="00577007" w:rsidRDefault="00073A49">
      <w:pPr>
        <w:ind w:firstLineChars="200" w:firstLine="560"/>
        <w:rPr>
          <w:rFonts w:ascii="宋体" w:eastAsia="宋体" w:hAnsi="宋体" w:hint="eastAsia"/>
          <w:sz w:val="28"/>
          <w:szCs w:val="28"/>
        </w:rPr>
      </w:pPr>
      <w:r>
        <w:rPr>
          <w:rFonts w:ascii="宋体" w:eastAsia="宋体" w:hAnsi="宋体" w:hint="eastAsia"/>
          <w:sz w:val="28"/>
          <w:szCs w:val="28"/>
        </w:rPr>
        <w:t>该法案折射出美国两党在财政政策上的尖锐对立。特朗普欲扩大支出来刺激短期经济数据，然而在当前联邦债务偿还的巨大压力下，该法案可能加剧通胀，与美联储“短期不降息”的紧缩政策形成对冲。</w:t>
      </w:r>
    </w:p>
    <w:p w14:paraId="36BF341F" w14:textId="4EC803BD" w:rsidR="00577007" w:rsidRDefault="00000000">
      <w:pPr>
        <w:ind w:firstLineChars="200" w:firstLine="562"/>
        <w:rPr>
          <w:rFonts w:ascii="宋体" w:eastAsia="宋体" w:hAnsi="宋体" w:cs="Times New Roman" w:hint="eastAsia"/>
          <w:b/>
          <w:bCs/>
          <w:sz w:val="28"/>
          <w:szCs w:val="28"/>
        </w:rPr>
      </w:pPr>
      <w:r>
        <w:rPr>
          <w:rFonts w:ascii="宋体" w:eastAsia="宋体" w:hAnsi="宋体" w:cs="Times New Roman" w:hint="eastAsia"/>
          <w:b/>
          <w:bCs/>
          <w:sz w:val="28"/>
          <w:szCs w:val="28"/>
        </w:rPr>
        <w:lastRenderedPageBreak/>
        <w:t>3.</w:t>
      </w:r>
      <w:r w:rsidR="008949DF" w:rsidRPr="008949DF">
        <w:rPr>
          <w:rFonts w:ascii="宋体" w:eastAsia="宋体" w:hAnsi="宋体" w:cs="Times New Roman"/>
          <w:b/>
          <w:bCs/>
          <w:sz w:val="28"/>
          <w:szCs w:val="28"/>
        </w:rPr>
        <w:t>韩国央行6月30日起放开外汇机构投资限制</w:t>
      </w:r>
    </w:p>
    <w:p w14:paraId="01859E77" w14:textId="77777777" w:rsidR="008949DF" w:rsidRDefault="008949DF">
      <w:pPr>
        <w:ind w:firstLineChars="200" w:firstLine="560"/>
        <w:rPr>
          <w:rFonts w:ascii="宋体" w:eastAsia="宋体" w:hAnsi="宋体" w:cs="Times New Roman" w:hint="eastAsia"/>
          <w:sz w:val="28"/>
          <w:szCs w:val="28"/>
        </w:rPr>
      </w:pPr>
      <w:r w:rsidRPr="008949DF">
        <w:rPr>
          <w:rFonts w:ascii="宋体" w:eastAsia="宋体" w:hAnsi="宋体" w:cs="Times New Roman" w:hint="eastAsia"/>
          <w:sz w:val="28"/>
          <w:szCs w:val="28"/>
        </w:rPr>
        <w:t>韩国央行表示，将从6月30日起全面放开对境内发行的外币计价债券（即泡菜债券）的投资限制，允许从事外汇相关业务的金融机构自由购买此类债券。这项限制措施始于2011年，当时政策制定者担忧本币过度投资外币债券可能推高短期外债规模。由于可能存在监管漏洞，此次政策调整仍将私募泡菜债券排除在外。</w:t>
      </w:r>
    </w:p>
    <w:p w14:paraId="7A6512A4" w14:textId="573ABF40" w:rsidR="00577007" w:rsidRDefault="008949DF">
      <w:pPr>
        <w:ind w:firstLineChars="200" w:firstLine="560"/>
        <w:rPr>
          <w:rFonts w:ascii="宋体" w:eastAsia="宋体" w:hAnsi="宋体" w:cs="Times New Roman" w:hint="eastAsia"/>
          <w:sz w:val="28"/>
          <w:szCs w:val="28"/>
        </w:rPr>
      </w:pPr>
      <w:r>
        <w:rPr>
          <w:rFonts w:ascii="宋体" w:eastAsia="宋体" w:hAnsi="宋体" w:cs="Times New Roman" w:hint="eastAsia"/>
          <w:sz w:val="28"/>
          <w:szCs w:val="28"/>
        </w:rPr>
        <w:t>此举标志着韩国外汇政策由“防范风险”转向“保流动性”。韩国央行放开境内机构投资泡菜债券的限制旨在通过吸引外资流入缓解韩元贬值压力。值得注意的是，此次调整将</w:t>
      </w:r>
      <w:r w:rsidRPr="008949DF">
        <w:rPr>
          <w:rFonts w:ascii="宋体" w:eastAsia="宋体" w:hAnsi="宋体" w:cs="Times New Roman" w:hint="eastAsia"/>
          <w:sz w:val="28"/>
          <w:szCs w:val="28"/>
        </w:rPr>
        <w:t>私募泡菜债券排除在外</w:t>
      </w:r>
      <w:r>
        <w:rPr>
          <w:rFonts w:ascii="宋体" w:eastAsia="宋体" w:hAnsi="宋体" w:cs="Times New Roman" w:hint="eastAsia"/>
          <w:sz w:val="28"/>
          <w:szCs w:val="28"/>
        </w:rPr>
        <w:t>，折射出新兴市场国家在“稳定汇率”与“防范风险”间的两难抉择。</w:t>
      </w:r>
    </w:p>
    <w:p w14:paraId="1289141E" w14:textId="57A7B84A" w:rsidR="00577007" w:rsidRDefault="00000000">
      <w:pPr>
        <w:ind w:firstLineChars="200" w:firstLine="562"/>
        <w:rPr>
          <w:rFonts w:ascii="宋体" w:eastAsia="宋体" w:hAnsi="宋体" w:hint="eastAsia"/>
          <w:b/>
          <w:bCs/>
          <w:sz w:val="28"/>
          <w:szCs w:val="28"/>
        </w:rPr>
      </w:pPr>
      <w:r>
        <w:rPr>
          <w:rFonts w:ascii="宋体" w:eastAsia="宋体" w:hAnsi="宋体" w:hint="eastAsia"/>
          <w:b/>
          <w:bCs/>
          <w:sz w:val="28"/>
          <w:szCs w:val="28"/>
        </w:rPr>
        <w:t>4.</w:t>
      </w:r>
      <w:r w:rsidR="003468E7" w:rsidRPr="003468E7">
        <w:rPr>
          <w:rFonts w:hint="eastAsia"/>
        </w:rPr>
        <w:t xml:space="preserve"> </w:t>
      </w:r>
      <w:r w:rsidR="003468E7" w:rsidRPr="003468E7">
        <w:rPr>
          <w:rFonts w:ascii="宋体" w:eastAsia="宋体" w:hAnsi="宋体" w:hint="eastAsia"/>
          <w:b/>
          <w:bCs/>
          <w:sz w:val="28"/>
          <w:szCs w:val="28"/>
        </w:rPr>
        <w:t>OpenAI与美印政府及Grab达成千万美元级AI定制合作协议</w:t>
      </w:r>
    </w:p>
    <w:p w14:paraId="3CA79A11" w14:textId="77777777" w:rsidR="003468E7" w:rsidRDefault="003468E7">
      <w:pPr>
        <w:ind w:firstLineChars="200" w:firstLine="560"/>
        <w:rPr>
          <w:rFonts w:ascii="宋体" w:eastAsia="宋体" w:hAnsi="宋体" w:hint="eastAsia"/>
          <w:sz w:val="28"/>
          <w:szCs w:val="28"/>
        </w:rPr>
      </w:pPr>
      <w:r w:rsidRPr="003468E7">
        <w:rPr>
          <w:rFonts w:ascii="宋体" w:eastAsia="宋体" w:hAnsi="宋体" w:hint="eastAsia"/>
          <w:sz w:val="28"/>
          <w:szCs w:val="28"/>
        </w:rPr>
        <w:t>OpenAI与美国国防部、印度政府以及Grab达成定制化人工智能合作协议，对其人工智能定制和咨询服务收取至少1000万美元费用。</w:t>
      </w:r>
    </w:p>
    <w:p w14:paraId="3C65256B" w14:textId="51835E31" w:rsidR="003468E7" w:rsidRDefault="003468E7" w:rsidP="003468E7">
      <w:pPr>
        <w:ind w:firstLine="420"/>
        <w:rPr>
          <w:rFonts w:ascii="宋体" w:eastAsia="宋体" w:hAnsi="宋体" w:hint="eastAsia"/>
          <w:sz w:val="28"/>
          <w:szCs w:val="28"/>
        </w:rPr>
      </w:pPr>
      <w:r w:rsidRPr="003468E7">
        <w:rPr>
          <w:rFonts w:ascii="宋体" w:eastAsia="宋体" w:hAnsi="宋体" w:hint="eastAsia"/>
          <w:sz w:val="28"/>
          <w:szCs w:val="28"/>
        </w:rPr>
        <w:t>此次合作标志着OpenAI在全球政府与企业级AI服务市场上的加速布局，显示其技术正从通用模型迈向更具战略价值的定制化应用。与美印政府的合作也表明生成式AI在国家安全、治理效率等关键领域的应用正在快速推进。</w:t>
      </w:r>
    </w:p>
    <w:p w14:paraId="710F7A21" w14:textId="776C9514" w:rsidR="00577007" w:rsidRDefault="00000000" w:rsidP="003468E7">
      <w:pPr>
        <w:ind w:firstLine="420"/>
        <w:rPr>
          <w:rFonts w:ascii="宋体" w:eastAsia="宋体" w:hAnsi="宋体" w:hint="eastAsia"/>
          <w:b/>
          <w:bCs/>
          <w:sz w:val="28"/>
          <w:szCs w:val="28"/>
        </w:rPr>
      </w:pPr>
      <w:r>
        <w:rPr>
          <w:rFonts w:ascii="宋体" w:eastAsia="宋体" w:hAnsi="宋体" w:hint="eastAsia"/>
          <w:b/>
          <w:bCs/>
          <w:sz w:val="28"/>
          <w:szCs w:val="28"/>
        </w:rPr>
        <w:t>5.</w:t>
      </w:r>
      <w:r w:rsidR="00CF7215" w:rsidRPr="00CF7215">
        <w:rPr>
          <w:rFonts w:ascii="宋体" w:eastAsia="宋体" w:hAnsi="宋体"/>
          <w:b/>
          <w:bCs/>
          <w:sz w:val="28"/>
          <w:szCs w:val="28"/>
        </w:rPr>
        <w:t>中国有条件恢复日本部分水产品进口</w:t>
      </w:r>
    </w:p>
    <w:p w14:paraId="1494AC2E" w14:textId="77777777" w:rsidR="00CF7215" w:rsidRDefault="00CF7215">
      <w:pPr>
        <w:ind w:firstLineChars="200" w:firstLine="560"/>
        <w:rPr>
          <w:rFonts w:ascii="宋体" w:eastAsia="宋体" w:hAnsi="宋体" w:hint="eastAsia"/>
          <w:b/>
          <w:bCs/>
          <w:sz w:val="28"/>
          <w:szCs w:val="28"/>
        </w:rPr>
      </w:pPr>
      <w:r w:rsidRPr="00CF7215">
        <w:rPr>
          <w:rFonts w:ascii="宋体" w:eastAsia="宋体" w:hAnsi="宋体" w:hint="eastAsia"/>
          <w:sz w:val="28"/>
          <w:szCs w:val="28"/>
        </w:rPr>
        <w:lastRenderedPageBreak/>
        <w:t>海关总署公告称，在持续开展针对日本福岛核污染水排海的长期国际监测和中方独立取样监测且结果未见异常，日本政府承诺保障输华水产品质量安全的前提下，</w:t>
      </w:r>
      <w:r w:rsidRPr="00896D9B">
        <w:rPr>
          <w:rFonts w:ascii="宋体" w:eastAsia="宋体" w:hAnsi="宋体" w:hint="eastAsia"/>
          <w:sz w:val="28"/>
          <w:szCs w:val="28"/>
        </w:rPr>
        <w:t>中方决定有条件恢复日本部分地区水产品（含食用水生动物）进口。</w:t>
      </w:r>
    </w:p>
    <w:p w14:paraId="4FD55EF8" w14:textId="6CF72968" w:rsidR="00577007" w:rsidRDefault="00CF7215">
      <w:pPr>
        <w:ind w:firstLineChars="200" w:firstLine="560"/>
        <w:rPr>
          <w:rFonts w:ascii="宋体" w:eastAsia="宋体" w:hAnsi="宋体" w:hint="eastAsia"/>
          <w:sz w:val="28"/>
          <w:szCs w:val="28"/>
        </w:rPr>
      </w:pPr>
      <w:r>
        <w:rPr>
          <w:rFonts w:ascii="宋体" w:eastAsia="宋体" w:hAnsi="宋体" w:hint="eastAsia"/>
          <w:sz w:val="28"/>
          <w:szCs w:val="28"/>
        </w:rPr>
        <w:t>中国此次调整对日本水产品的进口</w:t>
      </w:r>
      <w:r w:rsidR="00896D9B">
        <w:rPr>
          <w:rFonts w:ascii="宋体" w:eastAsia="宋体" w:hAnsi="宋体" w:hint="eastAsia"/>
          <w:sz w:val="28"/>
          <w:szCs w:val="28"/>
        </w:rPr>
        <w:t>福岛以外的区域，且保留动态调整</w:t>
      </w:r>
      <w:r>
        <w:rPr>
          <w:rFonts w:ascii="宋体" w:eastAsia="宋体" w:hAnsi="宋体" w:hint="eastAsia"/>
          <w:sz w:val="28"/>
          <w:szCs w:val="28"/>
        </w:rPr>
        <w:t>政策是基于科学监测和政治互动的双重考量。</w:t>
      </w:r>
      <w:r w:rsidR="00896D9B">
        <w:rPr>
          <w:rFonts w:ascii="宋体" w:eastAsia="宋体" w:hAnsi="宋体" w:hint="eastAsia"/>
          <w:sz w:val="28"/>
          <w:szCs w:val="28"/>
        </w:rPr>
        <w:t>解禁范围限定在福岛以外区域，</w:t>
      </w:r>
      <w:r w:rsidR="00896D9B" w:rsidRPr="00896D9B">
        <w:rPr>
          <w:rFonts w:ascii="宋体" w:eastAsia="宋体" w:hAnsi="宋体"/>
          <w:sz w:val="28"/>
          <w:szCs w:val="28"/>
        </w:rPr>
        <w:t>且保留动态调整权利</w:t>
      </w:r>
      <w:r w:rsidR="00896D9B">
        <w:rPr>
          <w:rFonts w:ascii="宋体" w:eastAsia="宋体" w:hAnsi="宋体" w:hint="eastAsia"/>
          <w:sz w:val="28"/>
          <w:szCs w:val="28"/>
        </w:rPr>
        <w:t>，</w:t>
      </w:r>
      <w:r w:rsidR="00896D9B" w:rsidRPr="00896D9B">
        <w:rPr>
          <w:rFonts w:ascii="宋体" w:eastAsia="宋体" w:hAnsi="宋体"/>
          <w:sz w:val="28"/>
          <w:szCs w:val="28"/>
        </w:rPr>
        <w:t>既避免了RCEP框架下经贸关系的持续恶化，又为应对可能的后续风险预留政策空间。</w:t>
      </w:r>
      <w:r w:rsidR="00896D9B">
        <w:rPr>
          <w:rFonts w:ascii="宋体" w:eastAsia="宋体" w:hAnsi="宋体" w:hint="eastAsia"/>
          <w:sz w:val="28"/>
          <w:szCs w:val="28"/>
        </w:rPr>
        <w:t>短期可关注</w:t>
      </w:r>
      <w:r w:rsidR="009C3B68">
        <w:rPr>
          <w:rFonts w:ascii="宋体" w:eastAsia="宋体" w:hAnsi="宋体" w:hint="eastAsia"/>
          <w:sz w:val="28"/>
          <w:szCs w:val="28"/>
        </w:rPr>
        <w:t>水产消费市场与冷链物流企业。</w:t>
      </w:r>
    </w:p>
    <w:p w14:paraId="47A922BD" w14:textId="40F9EAC7" w:rsidR="00577007" w:rsidRDefault="00000000">
      <w:pPr>
        <w:rPr>
          <w:rFonts w:ascii="宋体" w:eastAsia="宋体" w:hAnsi="宋体" w:hint="eastAsia"/>
          <w:b/>
          <w:bCs/>
          <w:sz w:val="28"/>
          <w:szCs w:val="28"/>
        </w:rPr>
      </w:pPr>
      <w:r>
        <w:rPr>
          <w:rFonts w:ascii="宋体" w:eastAsia="宋体" w:hAnsi="宋体" w:hint="eastAsia"/>
          <w:b/>
          <w:bCs/>
          <w:sz w:val="28"/>
          <w:szCs w:val="28"/>
        </w:rPr>
        <w:t>6.</w:t>
      </w:r>
      <w:r w:rsidR="009C3B68" w:rsidRPr="009C3B68">
        <w:rPr>
          <w:rFonts w:ascii="宋体" w:eastAsia="宋体" w:hAnsi="宋体"/>
          <w:b/>
          <w:bCs/>
          <w:sz w:val="28"/>
          <w:szCs w:val="28"/>
        </w:rPr>
        <w:t>香港</w:t>
      </w:r>
      <w:r w:rsidR="009C3B68">
        <w:rPr>
          <w:rFonts w:ascii="宋体" w:eastAsia="宋体" w:hAnsi="宋体" w:hint="eastAsia"/>
          <w:b/>
          <w:bCs/>
          <w:sz w:val="28"/>
          <w:szCs w:val="28"/>
        </w:rPr>
        <w:t>《稳定币条例》</w:t>
      </w:r>
      <w:r w:rsidR="009C3B68" w:rsidRPr="009C3B68">
        <w:rPr>
          <w:rFonts w:ascii="宋体" w:eastAsia="宋体" w:hAnsi="宋体"/>
          <w:b/>
          <w:bCs/>
          <w:sz w:val="28"/>
          <w:szCs w:val="28"/>
        </w:rPr>
        <w:t>8月1日生效</w:t>
      </w:r>
    </w:p>
    <w:p w14:paraId="621C57B5" w14:textId="77777777" w:rsidR="009C3B68" w:rsidRDefault="009C3B68">
      <w:pPr>
        <w:ind w:firstLineChars="200" w:firstLine="560"/>
        <w:rPr>
          <w:rFonts w:ascii="宋体" w:eastAsia="宋体" w:hAnsi="宋体" w:hint="eastAsia"/>
          <w:sz w:val="28"/>
          <w:szCs w:val="28"/>
        </w:rPr>
      </w:pPr>
      <w:r w:rsidRPr="009C3B68">
        <w:rPr>
          <w:rFonts w:ascii="宋体" w:eastAsia="宋体" w:hAnsi="宋体" w:hint="eastAsia"/>
          <w:sz w:val="28"/>
          <w:szCs w:val="28"/>
        </w:rPr>
        <w:t>香港财政司司长陈茂波表示，《稳定币条例》将在今年8月1日生效，香港特区政府及金融监管机构将致力营造有利的市场环境，配以必要的监管措施，推动发行人把稳定币应用推展至不同场景，助力解决企业经商以至市民生活中的实质痛点。</w:t>
      </w:r>
    </w:p>
    <w:p w14:paraId="17853706" w14:textId="57E0D349" w:rsidR="00577007" w:rsidRDefault="009C3B68">
      <w:pPr>
        <w:ind w:firstLineChars="200" w:firstLine="560"/>
        <w:rPr>
          <w:rFonts w:ascii="宋体" w:eastAsia="宋体" w:hAnsi="宋体" w:hint="eastAsia"/>
          <w:sz w:val="28"/>
          <w:szCs w:val="28"/>
        </w:rPr>
      </w:pPr>
      <w:r>
        <w:rPr>
          <w:rFonts w:ascii="宋体" w:eastAsia="宋体" w:hAnsi="宋体" w:hint="eastAsia"/>
          <w:sz w:val="28"/>
          <w:szCs w:val="28"/>
        </w:rPr>
        <w:t>香港选择在美联储降息周期前落地全球首个系统化稳定币监管框架，展现其抢占数字金融制高点的战略野心。该政策明确鼓励跨境贸易结算等高频场景应用</w:t>
      </w:r>
      <w:r w:rsidR="007C5D09">
        <w:rPr>
          <w:rFonts w:ascii="宋体" w:eastAsia="宋体" w:hAnsi="宋体" w:hint="eastAsia"/>
          <w:sz w:val="28"/>
          <w:szCs w:val="28"/>
        </w:rPr>
        <w:t>，也</w:t>
      </w:r>
      <w:r w:rsidR="007C5D09" w:rsidRPr="007C5D09">
        <w:rPr>
          <w:rFonts w:ascii="宋体" w:eastAsia="宋体" w:hAnsi="宋体"/>
          <w:sz w:val="28"/>
          <w:szCs w:val="28"/>
        </w:rPr>
        <w:t>为人民币国际化提供新型数字基础设施。</w:t>
      </w:r>
    </w:p>
    <w:p w14:paraId="6C9CB1CD" w14:textId="17F25B9F" w:rsidR="00577007" w:rsidRDefault="00000000">
      <w:pPr>
        <w:ind w:firstLineChars="200" w:firstLine="562"/>
        <w:rPr>
          <w:rFonts w:ascii="宋体" w:eastAsia="宋体" w:hAnsi="宋体" w:cs="Times New Roman" w:hint="eastAsia"/>
          <w:b/>
          <w:bCs/>
          <w:sz w:val="28"/>
          <w:szCs w:val="28"/>
        </w:rPr>
      </w:pPr>
      <w:r>
        <w:rPr>
          <w:rFonts w:ascii="宋体" w:eastAsia="宋体" w:hAnsi="宋体" w:cs="Times New Roman" w:hint="eastAsia"/>
          <w:b/>
          <w:bCs/>
          <w:sz w:val="28"/>
          <w:szCs w:val="28"/>
        </w:rPr>
        <w:t>7.</w:t>
      </w:r>
      <w:r w:rsidR="002E3764" w:rsidRPr="002E3764">
        <w:rPr>
          <w:rFonts w:ascii="宋体" w:eastAsia="宋体" w:hAnsi="宋体" w:cs="Times New Roman"/>
          <w:b/>
          <w:bCs/>
          <w:sz w:val="28"/>
          <w:szCs w:val="28"/>
        </w:rPr>
        <w:t>南方五省区电力市场启动连续结算</w:t>
      </w:r>
    </w:p>
    <w:p w14:paraId="525DF065" w14:textId="61D77D18" w:rsidR="00577007" w:rsidRDefault="002E3764">
      <w:pPr>
        <w:ind w:firstLineChars="200" w:firstLine="560"/>
        <w:rPr>
          <w:rFonts w:ascii="宋体" w:eastAsia="宋体" w:hAnsi="宋体" w:cs="Times New Roman" w:hint="eastAsia"/>
          <w:sz w:val="28"/>
          <w:szCs w:val="28"/>
        </w:rPr>
      </w:pPr>
      <w:r w:rsidRPr="002E3764">
        <w:rPr>
          <w:rFonts w:ascii="宋体" w:eastAsia="宋体" w:hAnsi="宋体" w:cs="Times New Roman" w:hint="eastAsia"/>
          <w:sz w:val="28"/>
          <w:szCs w:val="28"/>
        </w:rPr>
        <w:t>今天，涵盖广东、广西、云南、贵州和海南等五个省区的南方区域电力市场启动连续结算，意味着全球最大、最繁忙的“电力超</w:t>
      </w:r>
      <w:r w:rsidRPr="002E3764">
        <w:rPr>
          <w:rFonts w:ascii="宋体" w:eastAsia="宋体" w:hAnsi="宋体" w:cs="Times New Roman" w:hint="eastAsia"/>
          <w:sz w:val="28"/>
          <w:szCs w:val="28"/>
        </w:rPr>
        <w:lastRenderedPageBreak/>
        <w:t>市”开门营业。“超市”的顾客，需要购买的电量超级多，处理的总电量，比英国、法国、德国三个国家加起来的用电量还要大</w:t>
      </w:r>
      <w:r>
        <w:rPr>
          <w:rFonts w:ascii="宋体" w:eastAsia="宋体" w:hAnsi="宋体" w:cs="Times New Roman" w:hint="eastAsia"/>
          <w:sz w:val="28"/>
          <w:szCs w:val="28"/>
        </w:rPr>
        <w:t xml:space="preserve">。 </w:t>
      </w:r>
    </w:p>
    <w:p w14:paraId="78DC3452" w14:textId="636F3598" w:rsidR="00577007" w:rsidRDefault="002E3764">
      <w:pPr>
        <w:ind w:firstLineChars="200" w:firstLine="560"/>
        <w:rPr>
          <w:rFonts w:ascii="宋体" w:eastAsia="宋体" w:hAnsi="宋体" w:hint="eastAsia"/>
          <w:sz w:val="28"/>
          <w:szCs w:val="28"/>
        </w:rPr>
      </w:pPr>
      <w:r>
        <w:rPr>
          <w:rFonts w:ascii="宋体" w:eastAsia="宋体" w:hAnsi="宋体" w:hint="eastAsia"/>
          <w:sz w:val="28"/>
          <w:szCs w:val="28"/>
        </w:rPr>
        <w:t>南方区域电力市场的正式投运标志着我国电力体制改革进入新阶段。我国构建全球首个“区域电网+跨省交易+清洁能源优先”的电力市场体系，既保障了电网安全稳定运行，又为新能源消纳提供市场化解决方案。这一市场建立不仅提升我国在国际能源市场的话语权，更为全球电力市场改革提供了“中国方案”。</w:t>
      </w:r>
    </w:p>
    <w:p w14:paraId="32D021A1" w14:textId="68E8FF2B" w:rsidR="00577007" w:rsidRDefault="00000000">
      <w:pPr>
        <w:rPr>
          <w:rFonts w:ascii="宋体" w:eastAsia="宋体" w:hAnsi="宋体" w:hint="eastAsia"/>
          <w:b/>
          <w:bCs/>
          <w:sz w:val="28"/>
          <w:szCs w:val="28"/>
        </w:rPr>
      </w:pPr>
      <w:r>
        <w:rPr>
          <w:rFonts w:ascii="宋体" w:eastAsia="宋体" w:hAnsi="宋体" w:hint="eastAsia"/>
          <w:b/>
          <w:bCs/>
          <w:sz w:val="28"/>
          <w:szCs w:val="28"/>
        </w:rPr>
        <w:t>8.</w:t>
      </w:r>
      <w:r w:rsidR="003468E7" w:rsidRPr="003468E7">
        <w:rPr>
          <w:rFonts w:ascii="宋体" w:eastAsia="宋体" w:hAnsi="宋体"/>
          <w:b/>
          <w:bCs/>
          <w:sz w:val="28"/>
          <w:szCs w:val="28"/>
        </w:rPr>
        <w:t>海康威视斥</w:t>
      </w:r>
      <w:r w:rsidR="003468E7">
        <w:rPr>
          <w:rFonts w:ascii="宋体" w:eastAsia="宋体" w:hAnsi="宋体" w:hint="eastAsia"/>
          <w:b/>
          <w:bCs/>
          <w:sz w:val="28"/>
          <w:szCs w:val="28"/>
        </w:rPr>
        <w:t>责加拿大政府</w:t>
      </w:r>
      <w:r w:rsidR="003468E7" w:rsidRPr="003468E7">
        <w:rPr>
          <w:rFonts w:ascii="宋体" w:eastAsia="宋体" w:hAnsi="宋体"/>
          <w:b/>
          <w:bCs/>
          <w:sz w:val="28"/>
          <w:szCs w:val="28"/>
        </w:rPr>
        <w:t>"罔顾事实、歧视性打压"</w:t>
      </w:r>
    </w:p>
    <w:p w14:paraId="29A30D5D" w14:textId="1C456D42" w:rsidR="003468E7" w:rsidRDefault="003468E7" w:rsidP="003468E7">
      <w:pPr>
        <w:ind w:firstLineChars="200" w:firstLine="560"/>
        <w:rPr>
          <w:rFonts w:ascii="宋体" w:eastAsia="宋体" w:hAnsi="宋体" w:hint="eastAsia"/>
          <w:sz w:val="28"/>
          <w:szCs w:val="28"/>
        </w:rPr>
      </w:pPr>
      <w:r w:rsidRPr="003468E7">
        <w:rPr>
          <w:rFonts w:ascii="宋体" w:eastAsia="宋体" w:hAnsi="宋体" w:hint="eastAsia"/>
          <w:sz w:val="28"/>
          <w:szCs w:val="28"/>
        </w:rPr>
        <w:t>海康威视回应“被加拿大政府命令停止运营”称，强烈反对加拿大政府以所谓的“国家安全担忧”为由，作出海康威视加拿大公司在120天内关停的决定。这种做法罔顾事实，希望加拿大政府尊重法治，实事求是，而非以臆想和偏见为由采取歧视行动。</w:t>
      </w:r>
    </w:p>
    <w:bookmarkEnd w:id="0"/>
    <w:bookmarkEnd w:id="1"/>
    <w:p w14:paraId="2062AF16" w14:textId="406D6940" w:rsidR="00577007" w:rsidRDefault="003468E7">
      <w:pPr>
        <w:ind w:firstLineChars="200" w:firstLine="560"/>
        <w:rPr>
          <w:rFonts w:ascii="宋体" w:eastAsia="宋体" w:hAnsi="宋体" w:hint="eastAsia"/>
          <w:sz w:val="28"/>
          <w:szCs w:val="28"/>
        </w:rPr>
      </w:pPr>
      <w:r>
        <w:rPr>
          <w:rFonts w:ascii="宋体" w:eastAsia="宋体" w:hAnsi="宋体" w:hint="eastAsia"/>
          <w:sz w:val="28"/>
          <w:szCs w:val="28"/>
        </w:rPr>
        <w:t>加拿大以“国家安全”为由强令海康威视</w:t>
      </w:r>
      <w:r w:rsidR="00CF7215">
        <w:rPr>
          <w:rFonts w:ascii="宋体" w:eastAsia="宋体" w:hAnsi="宋体" w:hint="eastAsia"/>
          <w:sz w:val="28"/>
          <w:szCs w:val="28"/>
        </w:rPr>
        <w:t>撤出该国市场，是西方国家对中国科技企业系统性围堵的最新案例，是科技冷战思维下的市场驱逐。海康威视的强烈回应体现中企应对西方“泛安全化”打压时成熟的维权策略，也展现出中国政府利用</w:t>
      </w:r>
      <w:r w:rsidR="00CF7215" w:rsidRPr="00CF7215">
        <w:rPr>
          <w:rFonts w:ascii="宋体" w:eastAsia="宋体" w:hAnsi="宋体"/>
          <w:sz w:val="28"/>
          <w:szCs w:val="28"/>
        </w:rPr>
        <w:t>法律与舆论双轨反制，揭露“泛安全化”虚伪性</w:t>
      </w:r>
      <w:r w:rsidR="00CF7215" w:rsidRPr="00CF7215">
        <w:rPr>
          <w:rFonts w:ascii="宋体" w:eastAsia="宋体" w:hAnsi="宋体" w:hint="eastAsia"/>
          <w:sz w:val="28"/>
          <w:szCs w:val="28"/>
        </w:rPr>
        <w:t>的强硬手段</w:t>
      </w:r>
    </w:p>
    <w:p w14:paraId="04E3B40A" w14:textId="77777777" w:rsidR="00577007" w:rsidRDefault="00577007">
      <w:pPr>
        <w:ind w:firstLineChars="200" w:firstLine="560"/>
        <w:rPr>
          <w:rFonts w:ascii="宋体" w:eastAsia="宋体" w:hAnsi="宋体" w:hint="eastAsia"/>
          <w:sz w:val="28"/>
          <w:szCs w:val="28"/>
        </w:rPr>
      </w:pPr>
    </w:p>
    <w:p w14:paraId="2E7E9D54" w14:textId="77777777" w:rsidR="00577007" w:rsidRDefault="00000000">
      <w:pPr>
        <w:ind w:firstLineChars="200" w:firstLine="562"/>
        <w:rPr>
          <w:rFonts w:ascii="宋体" w:eastAsia="宋体" w:hAnsi="宋体" w:hint="eastAsia"/>
          <w:b/>
          <w:bCs/>
          <w:sz w:val="28"/>
          <w:szCs w:val="28"/>
          <w:u w:val="single"/>
        </w:rPr>
      </w:pPr>
      <w:r>
        <w:rPr>
          <w:rFonts w:ascii="宋体" w:eastAsia="宋体" w:hAnsi="宋体" w:hint="eastAsia"/>
          <w:b/>
          <w:bCs/>
          <w:sz w:val="28"/>
          <w:szCs w:val="28"/>
          <w:u w:val="single"/>
        </w:rPr>
        <w:t>三、建议</w:t>
      </w:r>
    </w:p>
    <w:p w14:paraId="4A66741C" w14:textId="252457F6" w:rsidR="00577007" w:rsidRDefault="00216821" w:rsidP="00216821">
      <w:pPr>
        <w:ind w:firstLineChars="200" w:firstLine="560"/>
        <w:rPr>
          <w:rFonts w:ascii="宋体" w:eastAsia="宋体" w:hAnsi="宋体" w:hint="eastAsia"/>
          <w:sz w:val="28"/>
          <w:szCs w:val="28"/>
        </w:rPr>
      </w:pPr>
      <w:r w:rsidRPr="00216821">
        <w:rPr>
          <w:rFonts w:ascii="宋体" w:eastAsia="宋体" w:hAnsi="宋体" w:hint="eastAsia"/>
          <w:sz w:val="28"/>
          <w:szCs w:val="28"/>
        </w:rPr>
        <w:t>当前市场呈现</w:t>
      </w:r>
      <w:r w:rsidR="008C5296" w:rsidRPr="008C5296">
        <w:rPr>
          <w:rFonts w:ascii="宋体" w:eastAsia="宋体" w:hAnsi="宋体"/>
          <w:sz w:val="28"/>
          <w:szCs w:val="28"/>
        </w:rPr>
        <w:t>"科技主线强化"</w:t>
      </w:r>
      <w:r w:rsidRPr="00216821">
        <w:rPr>
          <w:rFonts w:ascii="宋体" w:eastAsia="宋体" w:hAnsi="宋体" w:hint="eastAsia"/>
          <w:sz w:val="28"/>
          <w:szCs w:val="28"/>
        </w:rPr>
        <w:t>的特征</w:t>
      </w:r>
      <w:r w:rsidR="00067FDC">
        <w:rPr>
          <w:rFonts w:ascii="宋体" w:eastAsia="宋体" w:hAnsi="宋体" w:hint="eastAsia"/>
          <w:sz w:val="28"/>
          <w:szCs w:val="28"/>
        </w:rPr>
        <w:t>。</w:t>
      </w:r>
      <w:r w:rsidR="00067FDC" w:rsidRPr="00067FDC">
        <w:rPr>
          <w:rFonts w:ascii="宋体" w:eastAsia="宋体" w:hAnsi="宋体"/>
          <w:sz w:val="28"/>
          <w:szCs w:val="28"/>
        </w:rPr>
        <w:t>在美联储降息预期升</w:t>
      </w:r>
      <w:r w:rsidR="00067FDC" w:rsidRPr="00067FDC">
        <w:rPr>
          <w:rFonts w:ascii="宋体" w:eastAsia="宋体" w:hAnsi="宋体"/>
          <w:sz w:val="28"/>
          <w:szCs w:val="28"/>
        </w:rPr>
        <w:lastRenderedPageBreak/>
        <w:t>温、美元走弱推动外资向新兴市场倾斜的背景下</w:t>
      </w:r>
      <w:r w:rsidR="00067FDC">
        <w:rPr>
          <w:rFonts w:ascii="宋体" w:eastAsia="宋体" w:hAnsi="宋体" w:hint="eastAsia"/>
          <w:sz w:val="28"/>
          <w:szCs w:val="28"/>
        </w:rPr>
        <w:t>。可</w:t>
      </w:r>
      <w:r w:rsidR="00067FDC" w:rsidRPr="00067FDC">
        <w:rPr>
          <w:rFonts w:ascii="宋体" w:eastAsia="宋体" w:hAnsi="宋体"/>
          <w:sz w:val="28"/>
          <w:szCs w:val="28"/>
        </w:rPr>
        <w:t>重点布局受益于国产替代加速的半导体产业链、智能汽车领域以及数字经济基础设施；同时把握政策驱动的结构性机会，包括电力市场化改革带来的智能电网和储能投资机遇</w:t>
      </w:r>
      <w:r w:rsidR="00067FDC">
        <w:rPr>
          <w:rFonts w:ascii="宋体" w:eastAsia="宋体" w:hAnsi="宋体" w:hint="eastAsia"/>
          <w:sz w:val="28"/>
          <w:szCs w:val="28"/>
        </w:rPr>
        <w:t>。</w:t>
      </w:r>
      <w:r w:rsidR="00067FDC" w:rsidRPr="00067FDC">
        <w:rPr>
          <w:rFonts w:ascii="宋体" w:eastAsia="宋体" w:hAnsi="宋体"/>
          <w:sz w:val="28"/>
          <w:szCs w:val="28"/>
        </w:rPr>
        <w:t>但需警惕美国经济数据疲软可能引发的全球风险偏好波动，</w:t>
      </w:r>
      <w:r w:rsidR="00067FDC">
        <w:rPr>
          <w:rFonts w:ascii="宋体" w:eastAsia="宋体" w:hAnsi="宋体" w:hint="eastAsia"/>
          <w:sz w:val="28"/>
          <w:szCs w:val="28"/>
        </w:rPr>
        <w:t>建议</w:t>
      </w:r>
      <w:r w:rsidR="00067FDC" w:rsidRPr="00067FDC">
        <w:rPr>
          <w:rFonts w:ascii="宋体" w:eastAsia="宋体" w:hAnsi="宋体"/>
          <w:sz w:val="28"/>
          <w:szCs w:val="28"/>
        </w:rPr>
        <w:t>投资者采取"科技成长为主、政策驱动为辅"的配置策略</w:t>
      </w:r>
      <w:r w:rsidR="00067FDC">
        <w:rPr>
          <w:rFonts w:ascii="宋体" w:eastAsia="宋体" w:hAnsi="宋体" w:hint="eastAsia"/>
          <w:sz w:val="28"/>
          <w:szCs w:val="28"/>
        </w:rPr>
        <w:t>。</w:t>
      </w:r>
    </w:p>
    <w:sectPr w:rsidR="0057700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76742" w14:textId="77777777" w:rsidR="00B654D3" w:rsidRDefault="00B654D3">
      <w:pPr>
        <w:spacing w:line="240" w:lineRule="auto"/>
        <w:rPr>
          <w:rFonts w:hint="eastAsia"/>
        </w:rPr>
      </w:pPr>
      <w:r>
        <w:separator/>
      </w:r>
    </w:p>
  </w:endnote>
  <w:endnote w:type="continuationSeparator" w:id="0">
    <w:p w14:paraId="08E25996" w14:textId="77777777" w:rsidR="00B654D3" w:rsidRDefault="00B654D3">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63D15" w14:textId="77777777" w:rsidR="00B654D3" w:rsidRDefault="00B654D3">
      <w:pPr>
        <w:spacing w:after="0"/>
        <w:rPr>
          <w:rFonts w:hint="eastAsia"/>
        </w:rPr>
      </w:pPr>
      <w:r>
        <w:separator/>
      </w:r>
    </w:p>
  </w:footnote>
  <w:footnote w:type="continuationSeparator" w:id="0">
    <w:p w14:paraId="17680169" w14:textId="77777777" w:rsidR="00B654D3" w:rsidRDefault="00B654D3">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FD0B1C"/>
    <w:multiLevelType w:val="multilevel"/>
    <w:tmpl w:val="6BFD0B1C"/>
    <w:lvl w:ilvl="0">
      <w:start w:val="1"/>
      <w:numFmt w:val="japaneseCounting"/>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396975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0AD"/>
    <w:rsid w:val="00021135"/>
    <w:rsid w:val="00022BD2"/>
    <w:rsid w:val="000243C0"/>
    <w:rsid w:val="0003524F"/>
    <w:rsid w:val="00067FDC"/>
    <w:rsid w:val="00071383"/>
    <w:rsid w:val="00073A49"/>
    <w:rsid w:val="00077781"/>
    <w:rsid w:val="00091DCE"/>
    <w:rsid w:val="000C6FD0"/>
    <w:rsid w:val="000C7145"/>
    <w:rsid w:val="00113F88"/>
    <w:rsid w:val="001420C1"/>
    <w:rsid w:val="00150EA4"/>
    <w:rsid w:val="00154203"/>
    <w:rsid w:val="001E5AF5"/>
    <w:rsid w:val="00216821"/>
    <w:rsid w:val="002B7D70"/>
    <w:rsid w:val="002E3764"/>
    <w:rsid w:val="00312308"/>
    <w:rsid w:val="00327E46"/>
    <w:rsid w:val="003460AD"/>
    <w:rsid w:val="003468E7"/>
    <w:rsid w:val="003A6FD4"/>
    <w:rsid w:val="003C4DE2"/>
    <w:rsid w:val="003D6423"/>
    <w:rsid w:val="00411C1B"/>
    <w:rsid w:val="00430D2F"/>
    <w:rsid w:val="004668D3"/>
    <w:rsid w:val="00494F71"/>
    <w:rsid w:val="004A4A23"/>
    <w:rsid w:val="004E32A3"/>
    <w:rsid w:val="004F7D2C"/>
    <w:rsid w:val="0052225D"/>
    <w:rsid w:val="0052254A"/>
    <w:rsid w:val="00524F64"/>
    <w:rsid w:val="00532999"/>
    <w:rsid w:val="00577007"/>
    <w:rsid w:val="005D4656"/>
    <w:rsid w:val="005E0B01"/>
    <w:rsid w:val="0060755C"/>
    <w:rsid w:val="00645461"/>
    <w:rsid w:val="006B0511"/>
    <w:rsid w:val="006E0522"/>
    <w:rsid w:val="006E181C"/>
    <w:rsid w:val="00742CD0"/>
    <w:rsid w:val="00761FDB"/>
    <w:rsid w:val="00781639"/>
    <w:rsid w:val="007970A4"/>
    <w:rsid w:val="007A5D57"/>
    <w:rsid w:val="007B21F0"/>
    <w:rsid w:val="007C180D"/>
    <w:rsid w:val="007C5D09"/>
    <w:rsid w:val="007F4E8B"/>
    <w:rsid w:val="008042B9"/>
    <w:rsid w:val="008302C4"/>
    <w:rsid w:val="00834123"/>
    <w:rsid w:val="008636F5"/>
    <w:rsid w:val="0088237B"/>
    <w:rsid w:val="00883656"/>
    <w:rsid w:val="008949DF"/>
    <w:rsid w:val="00896D9B"/>
    <w:rsid w:val="008A2CF8"/>
    <w:rsid w:val="008B3DE5"/>
    <w:rsid w:val="008C1106"/>
    <w:rsid w:val="008C5296"/>
    <w:rsid w:val="008F7D4A"/>
    <w:rsid w:val="00926349"/>
    <w:rsid w:val="00933812"/>
    <w:rsid w:val="009630DD"/>
    <w:rsid w:val="00976EE3"/>
    <w:rsid w:val="009779A8"/>
    <w:rsid w:val="009A0FB7"/>
    <w:rsid w:val="009C3B68"/>
    <w:rsid w:val="009C76B5"/>
    <w:rsid w:val="009D41C1"/>
    <w:rsid w:val="009D7852"/>
    <w:rsid w:val="009F11B5"/>
    <w:rsid w:val="00A35927"/>
    <w:rsid w:val="00A906F6"/>
    <w:rsid w:val="00AC6224"/>
    <w:rsid w:val="00AE15DD"/>
    <w:rsid w:val="00AE7FC4"/>
    <w:rsid w:val="00B04EF7"/>
    <w:rsid w:val="00B25204"/>
    <w:rsid w:val="00B572A7"/>
    <w:rsid w:val="00B654D3"/>
    <w:rsid w:val="00B7049E"/>
    <w:rsid w:val="00B774EB"/>
    <w:rsid w:val="00B84C51"/>
    <w:rsid w:val="00BA1769"/>
    <w:rsid w:val="00C5100B"/>
    <w:rsid w:val="00C81438"/>
    <w:rsid w:val="00CA68F5"/>
    <w:rsid w:val="00CB7C25"/>
    <w:rsid w:val="00CF7215"/>
    <w:rsid w:val="00D133B3"/>
    <w:rsid w:val="00D43D51"/>
    <w:rsid w:val="00D677F7"/>
    <w:rsid w:val="00DA4D7A"/>
    <w:rsid w:val="00DF18B1"/>
    <w:rsid w:val="00E35264"/>
    <w:rsid w:val="00E746DE"/>
    <w:rsid w:val="00E8092F"/>
    <w:rsid w:val="00EE6E76"/>
    <w:rsid w:val="00F36F17"/>
    <w:rsid w:val="00F963E8"/>
    <w:rsid w:val="0B174EDD"/>
    <w:rsid w:val="17F31AE2"/>
    <w:rsid w:val="31F913C4"/>
    <w:rsid w:val="3B5A188F"/>
    <w:rsid w:val="4F7800DE"/>
    <w:rsid w:val="64A73D65"/>
    <w:rsid w:val="77AA2D01"/>
    <w:rsid w:val="79EB32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D2CD86"/>
  <w15:docId w15:val="{26777416-A347-4DFF-8C3E-569DE931C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pPr>
    <w:rPr>
      <w:sz w:val="18"/>
      <w:szCs w:val="18"/>
    </w:rPr>
  </w:style>
  <w:style w:type="paragraph" w:styleId="a5">
    <w:name w:val="header"/>
    <w:basedOn w:val="a"/>
    <w:link w:val="a6"/>
    <w:uiPriority w:val="99"/>
    <w:unhideWhenUsed/>
    <w:qFormat/>
    <w:pPr>
      <w:tabs>
        <w:tab w:val="center" w:pos="4153"/>
        <w:tab w:val="right" w:pos="8306"/>
      </w:tabs>
      <w:snapToGrid w:val="0"/>
      <w:spacing w:line="240" w:lineRule="auto"/>
      <w:jc w:val="center"/>
    </w:pPr>
    <w:rPr>
      <w:sz w:val="18"/>
      <w:szCs w:val="18"/>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9">
    <w:name w:val="Normal (Web)"/>
    <w:basedOn w:val="a"/>
    <w:uiPriority w:val="99"/>
    <w:semiHidden/>
    <w:unhideWhenUsed/>
    <w:qFormat/>
    <w:pPr>
      <w:widowControl/>
      <w:spacing w:before="100" w:beforeAutospacing="1" w:after="100" w:afterAutospacing="1" w:line="240" w:lineRule="auto"/>
    </w:pPr>
    <w:rPr>
      <w:rFonts w:ascii="宋体" w:eastAsia="宋体" w:hAnsi="宋体" w:cs="宋体"/>
      <w:kern w:val="0"/>
      <w:sz w:val="24"/>
      <w14:ligatures w14:val="none"/>
    </w:rPr>
  </w:style>
  <w:style w:type="paragraph" w:styleId="aa">
    <w:name w:val="Title"/>
    <w:basedOn w:val="a"/>
    <w:next w:val="a"/>
    <w:link w:val="ab"/>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styleId="ac">
    <w:name w:val="Strong"/>
    <w:basedOn w:val="a0"/>
    <w:uiPriority w:val="22"/>
    <w:qFormat/>
    <w:rPr>
      <w:b/>
      <w:bCs/>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b">
    <w:name w:val="标题 字符"/>
    <w:basedOn w:val="a0"/>
    <w:link w:val="aa"/>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pPr>
      <w:spacing w:before="160"/>
      <w:jc w:val="center"/>
    </w:pPr>
    <w:rPr>
      <w:i/>
      <w:iCs/>
      <w:color w:val="404040" w:themeColor="text1" w:themeTint="BF"/>
    </w:rPr>
  </w:style>
  <w:style w:type="character" w:customStyle="1" w:styleId="ae">
    <w:name w:val="引用 字符"/>
    <w:basedOn w:val="a0"/>
    <w:link w:val="ad"/>
    <w:uiPriority w:val="29"/>
    <w:qFormat/>
    <w:rPr>
      <w:i/>
      <w:iCs/>
      <w:color w:val="404040" w:themeColor="text1" w:themeTint="BF"/>
    </w:rPr>
  </w:style>
  <w:style w:type="paragraph" w:styleId="af">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0">
    <w:name w:val="Intense Quote"/>
    <w:basedOn w:val="a"/>
    <w:next w:val="a"/>
    <w:link w:val="af1"/>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1">
    <w:name w:val="明显引用 字符"/>
    <w:basedOn w:val="a0"/>
    <w:link w:val="af0"/>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745498">
      <w:bodyDiv w:val="1"/>
      <w:marLeft w:val="0"/>
      <w:marRight w:val="0"/>
      <w:marTop w:val="0"/>
      <w:marBottom w:val="0"/>
      <w:divBdr>
        <w:top w:val="none" w:sz="0" w:space="0" w:color="auto"/>
        <w:left w:val="none" w:sz="0" w:space="0" w:color="auto"/>
        <w:bottom w:val="none" w:sz="0" w:space="0" w:color="auto"/>
        <w:right w:val="none" w:sz="0" w:space="0" w:color="auto"/>
      </w:divBdr>
    </w:div>
    <w:div w:id="372273919">
      <w:bodyDiv w:val="1"/>
      <w:marLeft w:val="0"/>
      <w:marRight w:val="0"/>
      <w:marTop w:val="0"/>
      <w:marBottom w:val="0"/>
      <w:divBdr>
        <w:top w:val="none" w:sz="0" w:space="0" w:color="auto"/>
        <w:left w:val="none" w:sz="0" w:space="0" w:color="auto"/>
        <w:bottom w:val="none" w:sz="0" w:space="0" w:color="auto"/>
        <w:right w:val="none" w:sz="0" w:space="0" w:color="auto"/>
      </w:divBdr>
    </w:div>
    <w:div w:id="632757888">
      <w:bodyDiv w:val="1"/>
      <w:marLeft w:val="0"/>
      <w:marRight w:val="0"/>
      <w:marTop w:val="0"/>
      <w:marBottom w:val="0"/>
      <w:divBdr>
        <w:top w:val="none" w:sz="0" w:space="0" w:color="auto"/>
        <w:left w:val="none" w:sz="0" w:space="0" w:color="auto"/>
        <w:bottom w:val="none" w:sz="0" w:space="0" w:color="auto"/>
        <w:right w:val="none" w:sz="0" w:space="0" w:color="auto"/>
      </w:divBdr>
    </w:div>
    <w:div w:id="780876473">
      <w:bodyDiv w:val="1"/>
      <w:marLeft w:val="0"/>
      <w:marRight w:val="0"/>
      <w:marTop w:val="0"/>
      <w:marBottom w:val="0"/>
      <w:divBdr>
        <w:top w:val="none" w:sz="0" w:space="0" w:color="auto"/>
        <w:left w:val="none" w:sz="0" w:space="0" w:color="auto"/>
        <w:bottom w:val="none" w:sz="0" w:space="0" w:color="auto"/>
        <w:right w:val="none" w:sz="0" w:space="0" w:color="auto"/>
      </w:divBdr>
    </w:div>
    <w:div w:id="859662111">
      <w:bodyDiv w:val="1"/>
      <w:marLeft w:val="0"/>
      <w:marRight w:val="0"/>
      <w:marTop w:val="0"/>
      <w:marBottom w:val="0"/>
      <w:divBdr>
        <w:top w:val="none" w:sz="0" w:space="0" w:color="auto"/>
        <w:left w:val="none" w:sz="0" w:space="0" w:color="auto"/>
        <w:bottom w:val="none" w:sz="0" w:space="0" w:color="auto"/>
        <w:right w:val="none" w:sz="0" w:space="0" w:color="auto"/>
      </w:divBdr>
    </w:div>
    <w:div w:id="915550930">
      <w:bodyDiv w:val="1"/>
      <w:marLeft w:val="0"/>
      <w:marRight w:val="0"/>
      <w:marTop w:val="0"/>
      <w:marBottom w:val="0"/>
      <w:divBdr>
        <w:top w:val="none" w:sz="0" w:space="0" w:color="auto"/>
        <w:left w:val="none" w:sz="0" w:space="0" w:color="auto"/>
        <w:bottom w:val="none" w:sz="0" w:space="0" w:color="auto"/>
        <w:right w:val="none" w:sz="0" w:space="0" w:color="auto"/>
      </w:divBdr>
    </w:div>
    <w:div w:id="1005328962">
      <w:bodyDiv w:val="1"/>
      <w:marLeft w:val="0"/>
      <w:marRight w:val="0"/>
      <w:marTop w:val="0"/>
      <w:marBottom w:val="0"/>
      <w:divBdr>
        <w:top w:val="none" w:sz="0" w:space="0" w:color="auto"/>
        <w:left w:val="none" w:sz="0" w:space="0" w:color="auto"/>
        <w:bottom w:val="none" w:sz="0" w:space="0" w:color="auto"/>
        <w:right w:val="none" w:sz="0" w:space="0" w:color="auto"/>
      </w:divBdr>
    </w:div>
    <w:div w:id="1081828405">
      <w:bodyDiv w:val="1"/>
      <w:marLeft w:val="0"/>
      <w:marRight w:val="0"/>
      <w:marTop w:val="0"/>
      <w:marBottom w:val="0"/>
      <w:divBdr>
        <w:top w:val="none" w:sz="0" w:space="0" w:color="auto"/>
        <w:left w:val="none" w:sz="0" w:space="0" w:color="auto"/>
        <w:bottom w:val="none" w:sz="0" w:space="0" w:color="auto"/>
        <w:right w:val="none" w:sz="0" w:space="0" w:color="auto"/>
      </w:divBdr>
    </w:div>
    <w:div w:id="1100613059">
      <w:bodyDiv w:val="1"/>
      <w:marLeft w:val="0"/>
      <w:marRight w:val="0"/>
      <w:marTop w:val="0"/>
      <w:marBottom w:val="0"/>
      <w:divBdr>
        <w:top w:val="none" w:sz="0" w:space="0" w:color="auto"/>
        <w:left w:val="none" w:sz="0" w:space="0" w:color="auto"/>
        <w:bottom w:val="none" w:sz="0" w:space="0" w:color="auto"/>
        <w:right w:val="none" w:sz="0" w:space="0" w:color="auto"/>
      </w:divBdr>
    </w:div>
    <w:div w:id="1259366217">
      <w:bodyDiv w:val="1"/>
      <w:marLeft w:val="0"/>
      <w:marRight w:val="0"/>
      <w:marTop w:val="0"/>
      <w:marBottom w:val="0"/>
      <w:divBdr>
        <w:top w:val="none" w:sz="0" w:space="0" w:color="auto"/>
        <w:left w:val="none" w:sz="0" w:space="0" w:color="auto"/>
        <w:bottom w:val="none" w:sz="0" w:space="0" w:color="auto"/>
        <w:right w:val="none" w:sz="0" w:space="0" w:color="auto"/>
      </w:divBdr>
    </w:div>
    <w:div w:id="1772970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33C3E-A846-4F34-8902-A6907A8FF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6</Pages>
  <Words>399</Words>
  <Characters>2275</Characters>
  <Application>Microsoft Office Word</Application>
  <DocSecurity>0</DocSecurity>
  <Lines>18</Lines>
  <Paragraphs>5</Paragraphs>
  <ScaleCrop>false</ScaleCrop>
  <Company/>
  <LinksUpToDate>false</LinksUpToDate>
  <CharactersWithSpaces>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型俊 林</dc:creator>
  <cp:lastModifiedBy>Funk yankeen</cp:lastModifiedBy>
  <cp:revision>4</cp:revision>
  <dcterms:created xsi:type="dcterms:W3CDTF">2025-06-30T06:38:00Z</dcterms:created>
  <dcterms:modified xsi:type="dcterms:W3CDTF">2025-06-30T07:48:00Z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B63B171E943144C2A84CF6700413A5AF_12</vt:lpwstr>
  </property>
</Properties>
</file>