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3F4B" w14:textId="45AC8F9D" w:rsidR="00577007" w:rsidRDefault="008D4E60">
      <w:pPr>
        <w:jc w:val="center"/>
        <w:rPr>
          <w:rFonts w:ascii="宋体" w:eastAsia="宋体" w:hAnsi="宋体" w:hint="eastAsia"/>
          <w:b/>
          <w:bCs/>
          <w:sz w:val="32"/>
          <w:szCs w:val="32"/>
        </w:rPr>
      </w:pPr>
      <w:r>
        <w:rPr>
          <w:rFonts w:ascii="宋体" w:eastAsia="宋体" w:hAnsi="宋体" w:hint="eastAsia"/>
          <w:b/>
          <w:bCs/>
          <w:sz w:val="32"/>
          <w:szCs w:val="32"/>
        </w:rPr>
        <w:t>7月4日行情复盘及市场要点</w:t>
      </w:r>
    </w:p>
    <w:p w14:paraId="2E9DEE3F" w14:textId="77777777" w:rsidR="00577007" w:rsidRDefault="00000000">
      <w:pPr>
        <w:pStyle w:val="af"/>
        <w:numPr>
          <w:ilvl w:val="0"/>
          <w:numId w:val="1"/>
        </w:numPr>
        <w:rPr>
          <w:rFonts w:ascii="宋体" w:eastAsia="宋体" w:hAnsi="宋体" w:hint="eastAsia"/>
          <w:b/>
          <w:bCs/>
          <w:sz w:val="28"/>
          <w:szCs w:val="28"/>
        </w:rPr>
      </w:pPr>
      <w:r>
        <w:rPr>
          <w:rFonts w:ascii="宋体" w:eastAsia="宋体" w:hAnsi="宋体" w:hint="eastAsia"/>
          <w:b/>
          <w:bCs/>
          <w:sz w:val="28"/>
          <w:szCs w:val="28"/>
        </w:rPr>
        <w:t>行情复盘</w:t>
      </w:r>
    </w:p>
    <w:p w14:paraId="7AE41576" w14:textId="0F430F3F" w:rsidR="00071383" w:rsidRPr="00071383" w:rsidRDefault="00000000" w:rsidP="00071383">
      <w:pPr>
        <w:ind w:firstLineChars="200" w:firstLine="562"/>
        <w:rPr>
          <w:rFonts w:ascii="宋体" w:eastAsia="宋体" w:hAnsi="宋体" w:hint="eastAsia"/>
          <w:b/>
          <w:bCs/>
          <w:sz w:val="28"/>
          <w:szCs w:val="28"/>
        </w:rPr>
      </w:pPr>
      <w:r>
        <w:rPr>
          <w:rFonts w:ascii="宋体" w:eastAsia="宋体" w:hAnsi="宋体" w:hint="eastAsia"/>
          <w:b/>
          <w:bCs/>
          <w:sz w:val="28"/>
          <w:szCs w:val="28"/>
        </w:rPr>
        <w:t>2</w:t>
      </w:r>
      <w:r>
        <w:rPr>
          <w:rFonts w:ascii="宋体" w:eastAsia="宋体" w:hAnsi="宋体"/>
          <w:b/>
          <w:bCs/>
          <w:sz w:val="28"/>
          <w:szCs w:val="28"/>
        </w:rPr>
        <w:t>025年</w:t>
      </w:r>
      <w:r w:rsidR="008D4E60">
        <w:rPr>
          <w:rFonts w:ascii="宋体" w:eastAsia="宋体" w:hAnsi="宋体" w:hint="eastAsia"/>
          <w:b/>
          <w:bCs/>
          <w:sz w:val="28"/>
          <w:szCs w:val="28"/>
        </w:rPr>
        <w:t>7</w:t>
      </w:r>
      <w:r>
        <w:rPr>
          <w:rFonts w:ascii="宋体" w:eastAsia="宋体" w:hAnsi="宋体"/>
          <w:b/>
          <w:bCs/>
          <w:sz w:val="28"/>
          <w:szCs w:val="28"/>
        </w:rPr>
        <w:t>月</w:t>
      </w:r>
      <w:r w:rsidR="008D4E60">
        <w:rPr>
          <w:rFonts w:ascii="宋体" w:eastAsia="宋体" w:hAnsi="宋体" w:hint="eastAsia"/>
          <w:b/>
          <w:bCs/>
          <w:sz w:val="28"/>
          <w:szCs w:val="28"/>
        </w:rPr>
        <w:t>4</w:t>
      </w:r>
      <w:r>
        <w:rPr>
          <w:rFonts w:ascii="宋体" w:eastAsia="宋体" w:hAnsi="宋体"/>
          <w:b/>
          <w:bCs/>
          <w:sz w:val="28"/>
          <w:szCs w:val="28"/>
        </w:rPr>
        <w:t>日，A股市场</w:t>
      </w:r>
      <w:r w:rsidR="00C2762B">
        <w:rPr>
          <w:rFonts w:ascii="宋体" w:eastAsia="宋体" w:hAnsi="宋体" w:hint="eastAsia"/>
          <w:b/>
          <w:bCs/>
          <w:sz w:val="28"/>
          <w:szCs w:val="28"/>
        </w:rPr>
        <w:t>涨跌不一</w:t>
      </w:r>
      <w:r>
        <w:rPr>
          <w:rFonts w:ascii="宋体" w:eastAsia="宋体" w:hAnsi="宋体"/>
          <w:b/>
          <w:bCs/>
          <w:sz w:val="28"/>
          <w:szCs w:val="28"/>
        </w:rPr>
        <w:t>，</w:t>
      </w:r>
      <w:r w:rsidR="007970A4">
        <w:rPr>
          <w:rFonts w:ascii="宋体" w:eastAsia="宋体" w:hAnsi="宋体" w:hint="eastAsia"/>
          <w:b/>
          <w:bCs/>
          <w:sz w:val="28"/>
          <w:szCs w:val="28"/>
        </w:rPr>
        <w:t>其中</w:t>
      </w:r>
      <w:r>
        <w:rPr>
          <w:rFonts w:ascii="宋体" w:eastAsia="宋体" w:hAnsi="宋体"/>
          <w:b/>
          <w:bCs/>
          <w:sz w:val="28"/>
          <w:szCs w:val="28"/>
        </w:rPr>
        <w:t>沪指</w:t>
      </w:r>
      <w:r w:rsidR="00DA4D7A">
        <w:rPr>
          <w:rFonts w:ascii="宋体" w:eastAsia="宋体" w:hAnsi="宋体" w:hint="eastAsia"/>
          <w:b/>
          <w:bCs/>
          <w:sz w:val="28"/>
          <w:szCs w:val="28"/>
        </w:rPr>
        <w:t>上涨0.</w:t>
      </w:r>
      <w:r w:rsidR="00C2762B">
        <w:rPr>
          <w:rFonts w:ascii="宋体" w:eastAsia="宋体" w:hAnsi="宋体" w:hint="eastAsia"/>
          <w:b/>
          <w:bCs/>
          <w:sz w:val="28"/>
          <w:szCs w:val="28"/>
        </w:rPr>
        <w:t>32</w:t>
      </w:r>
      <w:r>
        <w:rPr>
          <w:rFonts w:ascii="宋体" w:eastAsia="宋体" w:hAnsi="宋体"/>
          <w:b/>
          <w:bCs/>
          <w:sz w:val="28"/>
          <w:szCs w:val="28"/>
        </w:rPr>
        <w:t>%，报</w:t>
      </w:r>
      <w:r w:rsidR="00C2762B">
        <w:rPr>
          <w:rFonts w:ascii="宋体" w:eastAsia="宋体" w:hAnsi="宋体" w:hint="eastAsia"/>
          <w:b/>
          <w:bCs/>
          <w:sz w:val="28"/>
          <w:szCs w:val="28"/>
        </w:rPr>
        <w:t>3472.32</w:t>
      </w:r>
      <w:r>
        <w:rPr>
          <w:rFonts w:ascii="宋体" w:eastAsia="宋体" w:hAnsi="宋体"/>
          <w:b/>
          <w:bCs/>
          <w:sz w:val="28"/>
          <w:szCs w:val="28"/>
        </w:rPr>
        <w:t>点；深成指</w:t>
      </w:r>
      <w:r w:rsidR="00C2762B">
        <w:rPr>
          <w:rFonts w:ascii="宋体" w:eastAsia="宋体" w:hAnsi="宋体" w:hint="eastAsia"/>
          <w:b/>
          <w:bCs/>
          <w:sz w:val="28"/>
          <w:szCs w:val="28"/>
        </w:rPr>
        <w:t>下跌0.25</w:t>
      </w:r>
      <w:r>
        <w:rPr>
          <w:rFonts w:ascii="宋体" w:eastAsia="宋体" w:hAnsi="宋体" w:hint="eastAsia"/>
          <w:b/>
          <w:bCs/>
          <w:sz w:val="28"/>
          <w:szCs w:val="28"/>
        </w:rPr>
        <w:t>%</w:t>
      </w:r>
      <w:r>
        <w:rPr>
          <w:rFonts w:ascii="宋体" w:eastAsia="宋体" w:hAnsi="宋体"/>
          <w:b/>
          <w:bCs/>
          <w:sz w:val="28"/>
          <w:szCs w:val="28"/>
        </w:rPr>
        <w:t>，报</w:t>
      </w:r>
      <w:r w:rsidR="00C2762B">
        <w:rPr>
          <w:rFonts w:ascii="宋体" w:eastAsia="宋体" w:hAnsi="宋体" w:hint="eastAsia"/>
          <w:b/>
          <w:bCs/>
          <w:sz w:val="28"/>
          <w:szCs w:val="28"/>
        </w:rPr>
        <w:t>10508.76</w:t>
      </w:r>
      <w:r>
        <w:rPr>
          <w:rFonts w:ascii="宋体" w:eastAsia="宋体" w:hAnsi="宋体"/>
          <w:b/>
          <w:bCs/>
          <w:sz w:val="28"/>
          <w:szCs w:val="28"/>
        </w:rPr>
        <w:t>点；创业板指</w:t>
      </w:r>
      <w:r w:rsidR="00C2762B">
        <w:rPr>
          <w:rFonts w:ascii="宋体" w:eastAsia="宋体" w:hAnsi="宋体" w:hint="eastAsia"/>
          <w:b/>
          <w:bCs/>
          <w:sz w:val="28"/>
          <w:szCs w:val="28"/>
        </w:rPr>
        <w:t>下跌0.36</w:t>
      </w:r>
      <w:r>
        <w:rPr>
          <w:rFonts w:ascii="宋体" w:eastAsia="宋体" w:hAnsi="宋体"/>
          <w:b/>
          <w:bCs/>
          <w:sz w:val="28"/>
          <w:szCs w:val="28"/>
        </w:rPr>
        <w:t>%，报</w:t>
      </w:r>
      <w:r w:rsidR="00C2762B">
        <w:rPr>
          <w:rFonts w:ascii="宋体" w:eastAsia="宋体" w:hAnsi="宋体" w:hint="eastAsia"/>
          <w:b/>
          <w:bCs/>
          <w:sz w:val="28"/>
          <w:szCs w:val="28"/>
        </w:rPr>
        <w:t>2156.23</w:t>
      </w:r>
      <w:r>
        <w:rPr>
          <w:rFonts w:ascii="宋体" w:eastAsia="宋体" w:hAnsi="宋体"/>
          <w:b/>
          <w:bCs/>
          <w:sz w:val="28"/>
          <w:szCs w:val="28"/>
        </w:rPr>
        <w:t>点。全A上涨个股</w:t>
      </w:r>
      <w:r w:rsidR="00C2762B">
        <w:rPr>
          <w:rFonts w:ascii="宋体" w:eastAsia="宋体" w:hAnsi="宋体" w:hint="eastAsia"/>
          <w:b/>
          <w:bCs/>
          <w:sz w:val="28"/>
          <w:szCs w:val="28"/>
        </w:rPr>
        <w:t>1169</w:t>
      </w:r>
      <w:r>
        <w:rPr>
          <w:rFonts w:ascii="宋体" w:eastAsia="宋体" w:hAnsi="宋体"/>
          <w:b/>
          <w:bCs/>
          <w:sz w:val="28"/>
          <w:szCs w:val="28"/>
        </w:rPr>
        <w:t>只，</w:t>
      </w:r>
      <w:r w:rsidR="00B52C38">
        <w:rPr>
          <w:rFonts w:ascii="宋体" w:eastAsia="宋体" w:hAnsi="宋体" w:hint="eastAsia"/>
          <w:b/>
          <w:bCs/>
          <w:sz w:val="28"/>
          <w:szCs w:val="28"/>
        </w:rPr>
        <w:t>平盘</w:t>
      </w:r>
      <w:r w:rsidR="00C2762B">
        <w:rPr>
          <w:rFonts w:ascii="宋体" w:eastAsia="宋体" w:hAnsi="宋体" w:hint="eastAsia"/>
          <w:b/>
          <w:bCs/>
          <w:sz w:val="28"/>
          <w:szCs w:val="28"/>
        </w:rPr>
        <w:t>129</w:t>
      </w:r>
      <w:r>
        <w:rPr>
          <w:rFonts w:ascii="宋体" w:eastAsia="宋体" w:hAnsi="宋体"/>
          <w:b/>
          <w:bCs/>
          <w:sz w:val="28"/>
          <w:szCs w:val="28"/>
        </w:rPr>
        <w:t>只，</w:t>
      </w:r>
      <w:r w:rsidR="00B52C38">
        <w:rPr>
          <w:rFonts w:ascii="宋体" w:eastAsia="宋体" w:hAnsi="宋体" w:hint="eastAsia"/>
          <w:b/>
          <w:bCs/>
          <w:sz w:val="28"/>
          <w:szCs w:val="28"/>
        </w:rPr>
        <w:t>下跌</w:t>
      </w:r>
      <w:r w:rsidR="00C2762B">
        <w:rPr>
          <w:rFonts w:ascii="宋体" w:eastAsia="宋体" w:hAnsi="宋体" w:hint="eastAsia"/>
          <w:b/>
          <w:bCs/>
          <w:sz w:val="28"/>
          <w:szCs w:val="28"/>
        </w:rPr>
        <w:t>4118</w:t>
      </w:r>
      <w:r>
        <w:rPr>
          <w:rFonts w:ascii="宋体" w:eastAsia="宋体" w:hAnsi="宋体" w:hint="eastAsia"/>
          <w:b/>
          <w:bCs/>
          <w:sz w:val="28"/>
          <w:szCs w:val="28"/>
        </w:rPr>
        <w:t>只。</w:t>
      </w:r>
      <w:r>
        <w:rPr>
          <w:rFonts w:ascii="宋体" w:eastAsia="宋体" w:hAnsi="宋体"/>
          <w:b/>
          <w:bCs/>
          <w:sz w:val="28"/>
          <w:szCs w:val="28"/>
        </w:rPr>
        <w:t>A股当日总成交额为</w:t>
      </w:r>
      <w:r w:rsidR="00C2762B">
        <w:rPr>
          <w:rFonts w:ascii="宋体" w:eastAsia="宋体" w:hAnsi="宋体" w:hint="eastAsia"/>
          <w:b/>
          <w:bCs/>
          <w:sz w:val="28"/>
          <w:szCs w:val="28"/>
        </w:rPr>
        <w:t>14547</w:t>
      </w:r>
      <w:r>
        <w:rPr>
          <w:rFonts w:ascii="宋体" w:eastAsia="宋体" w:hAnsi="宋体"/>
          <w:b/>
          <w:bCs/>
          <w:sz w:val="28"/>
          <w:szCs w:val="28"/>
        </w:rPr>
        <w:t>亿元，较上一交易日</w:t>
      </w:r>
      <w:r w:rsidR="00C2762B">
        <w:rPr>
          <w:rFonts w:ascii="宋体" w:eastAsia="宋体" w:hAnsi="宋体" w:hint="eastAsia"/>
          <w:b/>
          <w:bCs/>
          <w:sz w:val="28"/>
          <w:szCs w:val="28"/>
        </w:rPr>
        <w:t>增</w:t>
      </w:r>
      <w:r w:rsidR="007970A4">
        <w:rPr>
          <w:rFonts w:ascii="宋体" w:eastAsia="宋体" w:hAnsi="宋体" w:hint="eastAsia"/>
          <w:b/>
          <w:bCs/>
          <w:sz w:val="28"/>
          <w:szCs w:val="28"/>
        </w:rPr>
        <w:t>量</w:t>
      </w:r>
      <w:r w:rsidR="00C2762B">
        <w:rPr>
          <w:rFonts w:ascii="宋体" w:eastAsia="宋体" w:hAnsi="宋体" w:hint="eastAsia"/>
          <w:b/>
          <w:bCs/>
          <w:sz w:val="28"/>
          <w:szCs w:val="28"/>
        </w:rPr>
        <w:t>1210</w:t>
      </w:r>
      <w:r>
        <w:rPr>
          <w:rFonts w:ascii="宋体" w:eastAsia="宋体" w:hAnsi="宋体"/>
          <w:b/>
          <w:bCs/>
          <w:sz w:val="28"/>
          <w:szCs w:val="28"/>
        </w:rPr>
        <w:t>亿元，市场</w:t>
      </w:r>
      <w:r>
        <w:rPr>
          <w:rFonts w:ascii="宋体" w:eastAsia="宋体" w:hAnsi="宋体" w:hint="eastAsia"/>
          <w:b/>
          <w:bCs/>
          <w:sz w:val="28"/>
          <w:szCs w:val="28"/>
        </w:rPr>
        <w:t>交易活跃</w:t>
      </w:r>
      <w:r w:rsidR="00DA4D7A">
        <w:rPr>
          <w:rFonts w:ascii="宋体" w:eastAsia="宋体" w:hAnsi="宋体" w:hint="eastAsia"/>
          <w:b/>
          <w:bCs/>
          <w:sz w:val="28"/>
          <w:szCs w:val="28"/>
        </w:rPr>
        <w:t>态势</w:t>
      </w:r>
      <w:r w:rsidR="00C2762B">
        <w:rPr>
          <w:rFonts w:ascii="宋体" w:eastAsia="宋体" w:hAnsi="宋体" w:hint="eastAsia"/>
          <w:b/>
          <w:bCs/>
          <w:sz w:val="28"/>
          <w:szCs w:val="28"/>
        </w:rPr>
        <w:t>再起</w:t>
      </w:r>
      <w:r>
        <w:rPr>
          <w:rFonts w:ascii="宋体" w:eastAsia="宋体" w:hAnsi="宋体"/>
          <w:b/>
          <w:bCs/>
          <w:sz w:val="28"/>
          <w:szCs w:val="28"/>
        </w:rPr>
        <w:t>。</w:t>
      </w:r>
      <w:r w:rsidR="00C2762B">
        <w:rPr>
          <w:rFonts w:ascii="宋体" w:eastAsia="宋体" w:hAnsi="宋体" w:hint="eastAsia"/>
          <w:b/>
          <w:bCs/>
          <w:sz w:val="28"/>
          <w:szCs w:val="28"/>
        </w:rPr>
        <w:t>周期、制造板块普跌，金融板块上涨明显。</w:t>
      </w:r>
      <w:r>
        <w:rPr>
          <w:rFonts w:ascii="宋体" w:eastAsia="宋体" w:hAnsi="宋体" w:hint="eastAsia"/>
          <w:b/>
          <w:bCs/>
          <w:sz w:val="28"/>
          <w:szCs w:val="28"/>
        </w:rPr>
        <w:t>涨幅</w:t>
      </w:r>
      <w:r>
        <w:rPr>
          <w:rFonts w:ascii="宋体" w:eastAsia="宋体" w:hAnsi="宋体"/>
          <w:b/>
          <w:bCs/>
          <w:sz w:val="28"/>
          <w:szCs w:val="28"/>
        </w:rPr>
        <w:t>较大的包括</w:t>
      </w:r>
      <w:r w:rsidR="00C2762B">
        <w:rPr>
          <w:rFonts w:ascii="宋体" w:eastAsia="宋体" w:hAnsi="宋体" w:hint="eastAsia"/>
          <w:b/>
          <w:bCs/>
          <w:sz w:val="28"/>
          <w:szCs w:val="28"/>
        </w:rPr>
        <w:t>银行</w:t>
      </w:r>
      <w:r>
        <w:rPr>
          <w:rFonts w:ascii="宋体" w:eastAsia="宋体" w:hAnsi="宋体"/>
          <w:b/>
          <w:bCs/>
          <w:sz w:val="28"/>
          <w:szCs w:val="28"/>
        </w:rPr>
        <w:t>、</w:t>
      </w:r>
      <w:r w:rsidR="008B3DE5">
        <w:rPr>
          <w:rFonts w:ascii="宋体" w:eastAsia="宋体" w:hAnsi="宋体" w:hint="eastAsia"/>
          <w:b/>
          <w:bCs/>
          <w:sz w:val="28"/>
          <w:szCs w:val="28"/>
        </w:rPr>
        <w:t>综合金融、</w:t>
      </w:r>
      <w:r w:rsidR="00FF04F0">
        <w:rPr>
          <w:rFonts w:ascii="宋体" w:eastAsia="宋体" w:hAnsi="宋体" w:hint="eastAsia"/>
          <w:b/>
          <w:bCs/>
          <w:sz w:val="28"/>
          <w:szCs w:val="28"/>
        </w:rPr>
        <w:t>传媒等，</w:t>
      </w:r>
      <w:r w:rsidR="00FF04F0" w:rsidRPr="00FF04F0">
        <w:rPr>
          <w:rFonts w:ascii="宋体" w:eastAsia="宋体" w:hAnsi="宋体"/>
          <w:b/>
          <w:bCs/>
          <w:sz w:val="28"/>
          <w:szCs w:val="28"/>
        </w:rPr>
        <w:t>资金从顺周期向低估值防御和主题成长板块轮动</w:t>
      </w:r>
      <w:r w:rsidR="00FF04F0">
        <w:rPr>
          <w:rFonts w:ascii="宋体" w:eastAsia="宋体" w:hAnsi="宋体" w:hint="eastAsia"/>
          <w:b/>
          <w:bCs/>
          <w:sz w:val="28"/>
          <w:szCs w:val="28"/>
        </w:rPr>
        <w:t>。</w:t>
      </w:r>
      <w:r>
        <w:rPr>
          <w:rFonts w:ascii="宋体" w:eastAsia="宋体" w:hAnsi="宋体" w:hint="eastAsia"/>
          <w:b/>
          <w:bCs/>
          <w:sz w:val="28"/>
          <w:szCs w:val="28"/>
        </w:rPr>
        <w:t>三大主题指数方面，</w:t>
      </w:r>
      <w:r w:rsidR="00FF04F0">
        <w:rPr>
          <w:rFonts w:ascii="宋体" w:eastAsia="宋体" w:hAnsi="宋体" w:hint="eastAsia"/>
          <w:b/>
          <w:bCs/>
          <w:sz w:val="28"/>
          <w:szCs w:val="28"/>
        </w:rPr>
        <w:t>中特估指数上</w:t>
      </w:r>
      <w:r w:rsidR="008B3DE5">
        <w:rPr>
          <w:rFonts w:ascii="宋体" w:eastAsia="宋体" w:hAnsi="宋体" w:hint="eastAsia"/>
          <w:b/>
          <w:bCs/>
          <w:sz w:val="28"/>
          <w:szCs w:val="28"/>
        </w:rPr>
        <w:t>涨</w:t>
      </w:r>
      <w:r w:rsidR="00FF04F0">
        <w:rPr>
          <w:rFonts w:ascii="宋体" w:eastAsia="宋体" w:hAnsi="宋体" w:hint="eastAsia"/>
          <w:b/>
          <w:bCs/>
          <w:sz w:val="28"/>
          <w:szCs w:val="28"/>
        </w:rPr>
        <w:t>0.38</w:t>
      </w:r>
      <w:r w:rsidR="008B3DE5">
        <w:rPr>
          <w:rFonts w:ascii="宋体" w:eastAsia="宋体" w:hAnsi="宋体" w:hint="eastAsia"/>
          <w:b/>
          <w:bCs/>
          <w:sz w:val="28"/>
          <w:szCs w:val="28"/>
        </w:rPr>
        <w:t>%，核心资产指数与</w:t>
      </w:r>
      <w:r w:rsidR="00FF04F0">
        <w:rPr>
          <w:rFonts w:ascii="宋体" w:eastAsia="宋体" w:hAnsi="宋体" w:hint="eastAsia"/>
          <w:b/>
          <w:bCs/>
          <w:sz w:val="28"/>
          <w:szCs w:val="28"/>
        </w:rPr>
        <w:t>人工智能</w:t>
      </w:r>
      <w:r w:rsidR="008B3DE5">
        <w:rPr>
          <w:rFonts w:ascii="宋体" w:eastAsia="宋体" w:hAnsi="宋体" w:hint="eastAsia"/>
          <w:b/>
          <w:bCs/>
          <w:sz w:val="28"/>
          <w:szCs w:val="28"/>
        </w:rPr>
        <w:t>指数分别</w:t>
      </w:r>
      <w:r w:rsidR="00FF04F0">
        <w:rPr>
          <w:rFonts w:ascii="宋体" w:eastAsia="宋体" w:hAnsi="宋体" w:hint="eastAsia"/>
          <w:b/>
          <w:bCs/>
          <w:sz w:val="28"/>
          <w:szCs w:val="28"/>
        </w:rPr>
        <w:t>下跌0.01</w:t>
      </w:r>
      <w:r w:rsidR="008B3DE5">
        <w:rPr>
          <w:rFonts w:ascii="宋体" w:eastAsia="宋体" w:hAnsi="宋体" w:hint="eastAsia"/>
          <w:b/>
          <w:bCs/>
          <w:sz w:val="28"/>
          <w:szCs w:val="28"/>
        </w:rPr>
        <w:t>%与0.</w:t>
      </w:r>
      <w:r w:rsidR="00FF04F0">
        <w:rPr>
          <w:rFonts w:ascii="宋体" w:eastAsia="宋体" w:hAnsi="宋体" w:hint="eastAsia"/>
          <w:b/>
          <w:bCs/>
          <w:sz w:val="28"/>
          <w:szCs w:val="28"/>
        </w:rPr>
        <w:t>64</w:t>
      </w:r>
      <w:r w:rsidR="008B3DE5">
        <w:rPr>
          <w:rFonts w:ascii="宋体" w:eastAsia="宋体" w:hAnsi="宋体" w:hint="eastAsia"/>
          <w:b/>
          <w:bCs/>
          <w:sz w:val="28"/>
          <w:szCs w:val="28"/>
        </w:rPr>
        <w:t>%，</w:t>
      </w:r>
      <w:r w:rsidR="00FF04F0" w:rsidRPr="00FF04F0">
        <w:rPr>
          <w:rFonts w:ascii="宋体" w:eastAsia="宋体" w:hAnsi="宋体"/>
          <w:b/>
          <w:bCs/>
          <w:sz w:val="28"/>
          <w:szCs w:val="28"/>
        </w:rPr>
        <w:t>市场风格向成长股倾斜，表明投资者风险偏好有所回暖。</w:t>
      </w:r>
    </w:p>
    <w:p w14:paraId="056A483B" w14:textId="6E4D9BA7" w:rsidR="00577007" w:rsidRDefault="00000000">
      <w:pPr>
        <w:ind w:firstLineChars="200" w:firstLine="562"/>
        <w:rPr>
          <w:rFonts w:ascii="宋体" w:eastAsia="宋体" w:hAnsi="宋体" w:hint="eastAsia"/>
          <w:sz w:val="28"/>
          <w:szCs w:val="28"/>
        </w:rPr>
      </w:pPr>
      <w:r>
        <w:rPr>
          <w:rFonts w:ascii="宋体" w:eastAsia="宋体" w:hAnsi="宋体"/>
          <w:b/>
          <w:bCs/>
          <w:sz w:val="28"/>
          <w:szCs w:val="28"/>
        </w:rPr>
        <w:t>从基差视角来看，2025年</w:t>
      </w:r>
      <w:r w:rsidR="00604A65">
        <w:rPr>
          <w:rFonts w:ascii="宋体" w:eastAsia="宋体" w:hAnsi="宋体" w:hint="eastAsia"/>
          <w:b/>
          <w:bCs/>
          <w:sz w:val="28"/>
          <w:szCs w:val="28"/>
        </w:rPr>
        <w:t>7</w:t>
      </w:r>
      <w:r>
        <w:rPr>
          <w:rFonts w:ascii="宋体" w:eastAsia="宋体" w:hAnsi="宋体"/>
          <w:b/>
          <w:bCs/>
          <w:sz w:val="28"/>
          <w:szCs w:val="28"/>
        </w:rPr>
        <w:t>月</w:t>
      </w:r>
      <w:r w:rsidR="00604A65">
        <w:rPr>
          <w:rFonts w:ascii="宋体" w:eastAsia="宋体" w:hAnsi="宋体" w:hint="eastAsia"/>
          <w:b/>
          <w:bCs/>
          <w:sz w:val="28"/>
          <w:szCs w:val="28"/>
        </w:rPr>
        <w:t>4</w:t>
      </w:r>
      <w:r>
        <w:rPr>
          <w:rFonts w:ascii="宋体" w:eastAsia="宋体" w:hAnsi="宋体"/>
          <w:b/>
          <w:bCs/>
          <w:sz w:val="28"/>
          <w:szCs w:val="28"/>
        </w:rPr>
        <w:t>日股指期货合约</w:t>
      </w:r>
      <w:r>
        <w:rPr>
          <w:rFonts w:ascii="宋体" w:eastAsia="宋体" w:hAnsi="宋体" w:hint="eastAsia"/>
          <w:b/>
          <w:bCs/>
          <w:sz w:val="28"/>
          <w:szCs w:val="28"/>
        </w:rPr>
        <w:t>均</w:t>
      </w:r>
      <w:r>
        <w:rPr>
          <w:rFonts w:ascii="宋体" w:eastAsia="宋体" w:hAnsi="宋体"/>
          <w:b/>
          <w:bCs/>
          <w:sz w:val="28"/>
          <w:szCs w:val="28"/>
        </w:rPr>
        <w:t>呈现升水状态</w:t>
      </w:r>
      <w:r w:rsidR="00EE6E76">
        <w:rPr>
          <w:rFonts w:ascii="宋体" w:eastAsia="宋体" w:hAnsi="宋体" w:hint="eastAsia"/>
          <w:b/>
          <w:bCs/>
          <w:sz w:val="28"/>
          <w:szCs w:val="28"/>
        </w:rPr>
        <w:t>。</w:t>
      </w:r>
      <w:r w:rsidR="00071383">
        <w:rPr>
          <w:rFonts w:ascii="宋体" w:eastAsia="宋体" w:hAnsi="宋体" w:hint="eastAsia"/>
          <w:b/>
          <w:bCs/>
          <w:sz w:val="28"/>
          <w:szCs w:val="28"/>
        </w:rPr>
        <w:t>中盘与中小盘IM，IC的合约升水大幅</w:t>
      </w:r>
      <w:r w:rsidR="00FF04F0">
        <w:rPr>
          <w:rFonts w:ascii="宋体" w:eastAsia="宋体" w:hAnsi="宋体" w:hint="eastAsia"/>
          <w:b/>
          <w:bCs/>
          <w:sz w:val="28"/>
          <w:szCs w:val="28"/>
        </w:rPr>
        <w:t>缩小</w:t>
      </w:r>
      <w:r w:rsidR="00071383">
        <w:rPr>
          <w:rFonts w:ascii="宋体" w:eastAsia="宋体" w:hAnsi="宋体" w:hint="eastAsia"/>
          <w:b/>
          <w:bCs/>
          <w:sz w:val="28"/>
          <w:szCs w:val="28"/>
        </w:rPr>
        <w:t>，体现出</w:t>
      </w:r>
      <w:r w:rsidR="00071383" w:rsidRPr="00071383">
        <w:rPr>
          <w:rFonts w:ascii="宋体" w:eastAsia="宋体" w:hAnsi="宋体"/>
          <w:b/>
          <w:bCs/>
          <w:sz w:val="28"/>
          <w:szCs w:val="28"/>
        </w:rPr>
        <w:t>中小盘股的情绪</w:t>
      </w:r>
      <w:r w:rsidR="00FC3604">
        <w:rPr>
          <w:rFonts w:ascii="宋体" w:eastAsia="宋体" w:hAnsi="宋体" w:hint="eastAsia"/>
          <w:b/>
          <w:bCs/>
          <w:sz w:val="28"/>
          <w:szCs w:val="28"/>
        </w:rPr>
        <w:t>降温</w:t>
      </w:r>
      <w:r w:rsidR="00071383">
        <w:rPr>
          <w:rFonts w:ascii="宋体" w:eastAsia="宋体" w:hAnsi="宋体" w:hint="eastAsia"/>
          <w:b/>
          <w:bCs/>
          <w:sz w:val="28"/>
          <w:szCs w:val="28"/>
        </w:rPr>
        <w:t>。I</w:t>
      </w:r>
      <w:r w:rsidR="00FC3604">
        <w:rPr>
          <w:rFonts w:ascii="宋体" w:eastAsia="宋体" w:hAnsi="宋体" w:hint="eastAsia"/>
          <w:b/>
          <w:bCs/>
          <w:sz w:val="28"/>
          <w:szCs w:val="28"/>
        </w:rPr>
        <w:t>F</w:t>
      </w:r>
      <w:r w:rsidR="00071383">
        <w:rPr>
          <w:rFonts w:ascii="宋体" w:eastAsia="宋体" w:hAnsi="宋体" w:hint="eastAsia"/>
          <w:b/>
          <w:bCs/>
          <w:sz w:val="28"/>
          <w:szCs w:val="28"/>
        </w:rPr>
        <w:t>升水小幅收敛，IF升水</w:t>
      </w:r>
      <w:r w:rsidR="00FC3604">
        <w:rPr>
          <w:rFonts w:ascii="宋体" w:eastAsia="宋体" w:hAnsi="宋体" w:hint="eastAsia"/>
          <w:b/>
          <w:bCs/>
          <w:sz w:val="28"/>
          <w:szCs w:val="28"/>
        </w:rPr>
        <w:t>小幅提升</w:t>
      </w:r>
      <w:r w:rsidR="00EE6E76">
        <w:rPr>
          <w:rFonts w:ascii="宋体" w:eastAsia="宋体" w:hAnsi="宋体" w:hint="eastAsia"/>
          <w:b/>
          <w:bCs/>
          <w:sz w:val="28"/>
          <w:szCs w:val="28"/>
        </w:rPr>
        <w:t>。</w:t>
      </w:r>
      <w:r w:rsidR="004A4A23" w:rsidRPr="004A4A23">
        <w:rPr>
          <w:rFonts w:ascii="宋体" w:eastAsia="宋体" w:hAnsi="宋体"/>
          <w:b/>
          <w:bCs/>
          <w:sz w:val="28"/>
          <w:szCs w:val="28"/>
        </w:rPr>
        <w:t>大盘股情绪</w:t>
      </w:r>
      <w:r w:rsidR="00FC3604">
        <w:rPr>
          <w:rFonts w:ascii="宋体" w:eastAsia="宋体" w:hAnsi="宋体" w:hint="eastAsia"/>
          <w:b/>
          <w:bCs/>
          <w:sz w:val="28"/>
          <w:szCs w:val="28"/>
        </w:rPr>
        <w:t>持续</w:t>
      </w:r>
      <w:r w:rsidR="004A4A23" w:rsidRPr="004A4A23">
        <w:rPr>
          <w:rFonts w:ascii="宋体" w:eastAsia="宋体" w:hAnsi="宋体"/>
          <w:b/>
          <w:bCs/>
          <w:sz w:val="28"/>
          <w:szCs w:val="28"/>
        </w:rPr>
        <w:t>谨慎</w:t>
      </w:r>
      <w:r w:rsidR="004A4A23">
        <w:rPr>
          <w:rFonts w:ascii="宋体" w:eastAsia="宋体" w:hAnsi="宋体" w:hint="eastAsia"/>
          <w:b/>
          <w:bCs/>
          <w:sz w:val="28"/>
          <w:szCs w:val="28"/>
        </w:rPr>
        <w:t>，而</w:t>
      </w:r>
      <w:r w:rsidR="004A4A23" w:rsidRPr="004A4A23">
        <w:rPr>
          <w:rFonts w:ascii="宋体" w:eastAsia="宋体" w:hAnsi="宋体"/>
          <w:b/>
          <w:bCs/>
          <w:sz w:val="28"/>
          <w:szCs w:val="28"/>
        </w:rPr>
        <w:t>沪深300情绪中性均衡</w:t>
      </w:r>
      <w:r w:rsidR="004A4A23">
        <w:rPr>
          <w:rFonts w:ascii="宋体" w:eastAsia="宋体" w:hAnsi="宋体" w:hint="eastAsia"/>
          <w:b/>
          <w:bCs/>
          <w:sz w:val="28"/>
          <w:szCs w:val="28"/>
        </w:rPr>
        <w:t>。</w:t>
      </w:r>
      <w:r w:rsidR="004A4A23" w:rsidRPr="004A4A23">
        <w:rPr>
          <w:rFonts w:ascii="宋体" w:eastAsia="宋体" w:hAnsi="宋体"/>
          <w:b/>
          <w:bCs/>
          <w:sz w:val="28"/>
          <w:szCs w:val="28"/>
        </w:rPr>
        <w:t>市场风险偏好向中小盘倾斜</w:t>
      </w:r>
      <w:r w:rsidR="00FC3604">
        <w:rPr>
          <w:rFonts w:ascii="宋体" w:eastAsia="宋体" w:hAnsi="宋体" w:hint="eastAsia"/>
          <w:b/>
          <w:bCs/>
          <w:sz w:val="28"/>
          <w:szCs w:val="28"/>
        </w:rPr>
        <w:t>逐渐缩小</w:t>
      </w:r>
      <w:r w:rsidR="004A4A23" w:rsidRPr="004A4A23">
        <w:rPr>
          <w:rFonts w:ascii="宋体" w:eastAsia="宋体" w:hAnsi="宋体"/>
          <w:b/>
          <w:bCs/>
          <w:sz w:val="28"/>
          <w:szCs w:val="28"/>
        </w:rPr>
        <w:t>，</w:t>
      </w:r>
      <w:r w:rsidR="00FC3604" w:rsidRPr="00FC3604">
        <w:rPr>
          <w:rFonts w:ascii="宋体" w:eastAsia="宋体" w:hAnsi="宋体"/>
          <w:b/>
          <w:bCs/>
          <w:sz w:val="28"/>
          <w:szCs w:val="28"/>
        </w:rPr>
        <w:t>从前期明显倾向中小盘转为中性，但远月合约仍隐含对中小盘下半年表现的乐观预期</w:t>
      </w:r>
      <w:r w:rsidR="00FC3604">
        <w:rPr>
          <w:rFonts w:ascii="宋体" w:eastAsia="宋体" w:hAnsi="宋体" w:hint="eastAsia"/>
          <w:b/>
          <w:bCs/>
          <w:sz w:val="28"/>
          <w:szCs w:val="28"/>
        </w:rPr>
        <w:t>。</w:t>
      </w:r>
    </w:p>
    <w:p w14:paraId="5961C20B" w14:textId="77777777" w:rsidR="00577007" w:rsidRDefault="00000000">
      <w:pPr>
        <w:pStyle w:val="af"/>
        <w:numPr>
          <w:ilvl w:val="0"/>
          <w:numId w:val="1"/>
        </w:numPr>
        <w:rPr>
          <w:rFonts w:ascii="宋体" w:eastAsia="宋体" w:hAnsi="宋体" w:hint="eastAsia"/>
          <w:sz w:val="28"/>
          <w:szCs w:val="28"/>
        </w:rPr>
      </w:pPr>
      <w:r>
        <w:rPr>
          <w:rFonts w:ascii="宋体" w:eastAsia="宋体" w:hAnsi="宋体" w:hint="eastAsia"/>
          <w:sz w:val="28"/>
          <w:szCs w:val="28"/>
        </w:rPr>
        <w:t>市场要点</w:t>
      </w:r>
    </w:p>
    <w:p w14:paraId="165E0C32" w14:textId="77777777" w:rsidR="00577007" w:rsidRDefault="00577007">
      <w:pPr>
        <w:pStyle w:val="af"/>
        <w:ind w:left="0"/>
        <w:rPr>
          <w:rFonts w:ascii="宋体" w:eastAsia="宋体" w:hAnsi="宋体" w:hint="eastAsia"/>
          <w:sz w:val="28"/>
          <w:szCs w:val="28"/>
        </w:rPr>
      </w:pPr>
      <w:bookmarkStart w:id="0" w:name="OLE_LINK7"/>
    </w:p>
    <w:p w14:paraId="310698BB" w14:textId="7086A6F5" w:rsidR="00577007" w:rsidRDefault="00000000">
      <w:pPr>
        <w:rPr>
          <w:rFonts w:ascii="宋体" w:eastAsia="宋体" w:hAnsi="宋体" w:cs="Times New Roman" w:hint="eastAsia"/>
          <w:b/>
          <w:bCs/>
          <w:sz w:val="28"/>
          <w:szCs w:val="28"/>
        </w:rPr>
      </w:pPr>
      <w:r>
        <w:rPr>
          <w:rFonts w:ascii="宋体" w:eastAsia="宋体" w:hAnsi="宋体" w:cs="Times New Roman" w:hint="eastAsia"/>
          <w:b/>
          <w:bCs/>
          <w:sz w:val="28"/>
          <w:szCs w:val="28"/>
        </w:rPr>
        <w:t>1.</w:t>
      </w:r>
      <w:r w:rsidR="00604A65" w:rsidRPr="00604A65">
        <w:rPr>
          <w:rFonts w:ascii="宋体" w:eastAsia="宋体" w:hAnsi="宋体" w:cs="Times New Roman"/>
          <w:b/>
          <w:bCs/>
          <w:sz w:val="28"/>
          <w:szCs w:val="28"/>
        </w:rPr>
        <w:t>美众议院通过</w:t>
      </w:r>
      <w:r w:rsidR="00604A65" w:rsidRPr="00604A65">
        <w:rPr>
          <w:rFonts w:ascii="宋体" w:eastAsia="宋体" w:hAnsi="宋体" w:cs="Times New Roman"/>
          <w:b/>
          <w:sz w:val="28"/>
          <w:szCs w:val="28"/>
        </w:rPr>
        <w:t>“大而美”税收与支出法案</w:t>
      </w:r>
    </w:p>
    <w:p w14:paraId="63A1DBCC" w14:textId="77777777" w:rsidR="00604A65" w:rsidRPr="00604A65" w:rsidRDefault="00604A65" w:rsidP="00604A65">
      <w:pPr>
        <w:ind w:firstLineChars="200" w:firstLine="560"/>
        <w:rPr>
          <w:rFonts w:ascii="宋体" w:eastAsia="宋体" w:hAnsi="宋体" w:cs="Times New Roman" w:hint="eastAsia"/>
          <w:sz w:val="28"/>
          <w:szCs w:val="28"/>
        </w:rPr>
      </w:pPr>
      <w:bookmarkStart w:id="1" w:name="OLE_LINK2"/>
      <w:r w:rsidRPr="00604A65">
        <w:rPr>
          <w:rFonts w:ascii="宋体" w:eastAsia="宋体" w:hAnsi="宋体" w:cs="Times New Roman"/>
          <w:sz w:val="28"/>
          <w:szCs w:val="28"/>
        </w:rPr>
        <w:t>美国国会众议院以218票赞成、214票反对的表决结果通过了</w:t>
      </w:r>
      <w:r w:rsidRPr="00604A65">
        <w:rPr>
          <w:rFonts w:ascii="宋体" w:eastAsia="宋体" w:hAnsi="宋体" w:cs="Times New Roman"/>
          <w:sz w:val="28"/>
          <w:szCs w:val="28"/>
        </w:rPr>
        <w:lastRenderedPageBreak/>
        <w:t>总统特朗普推动的“大而美”税收与支出法案。该法案因造成联邦援助削减、长期债务增加和为富人及大企业减税等而备受争议。白宫说，特朗普定于7月4日即美国“独立日”当天签署该法案，使其生效。该法案将美国联邦政府的法定债务上限提高5万亿美元，国会预算办公室（CBO）估计，这可能会让政府预算赤字未来十年内增加3.4万亿美元。</w:t>
      </w:r>
    </w:p>
    <w:p w14:paraId="4C9D0E75" w14:textId="2EC10392" w:rsidR="00577007" w:rsidRDefault="00604A65">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特朗普政府力推的“大而美”法案以短期经济刺激为名，通过大幅度减税与扩大债务上限，试图换取增长动能。</w:t>
      </w:r>
      <w:r w:rsidR="000A6BE4">
        <w:rPr>
          <w:rFonts w:ascii="宋体" w:eastAsia="宋体" w:hAnsi="宋体" w:cs="Times New Roman" w:hint="eastAsia"/>
          <w:sz w:val="28"/>
          <w:szCs w:val="28"/>
        </w:rPr>
        <w:t>但代价是长期赤字飙升与社会福利削减。在美国独立日签署该法案也难掩其加剧财富分化与贫富差距，透支财政可持续性的风险。</w:t>
      </w:r>
    </w:p>
    <w:p w14:paraId="62269198" w14:textId="7CAC6F06" w:rsidR="000A6BE4" w:rsidRDefault="00000000" w:rsidP="000A6BE4">
      <w:pPr>
        <w:ind w:firstLineChars="200" w:firstLine="562"/>
        <w:rPr>
          <w:rFonts w:ascii="宋体" w:eastAsia="宋体" w:hAnsi="宋体" w:hint="eastAsia"/>
          <w:b/>
          <w:bCs/>
          <w:sz w:val="28"/>
          <w:szCs w:val="28"/>
        </w:rPr>
      </w:pPr>
      <w:r>
        <w:rPr>
          <w:rFonts w:ascii="宋体" w:eastAsia="宋体" w:hAnsi="宋体" w:hint="eastAsia"/>
          <w:b/>
          <w:bCs/>
          <w:sz w:val="28"/>
          <w:szCs w:val="28"/>
        </w:rPr>
        <w:t>2.</w:t>
      </w:r>
      <w:r w:rsidR="000A6BE4" w:rsidRPr="000A6BE4">
        <w:rPr>
          <w:rFonts w:ascii="宋体" w:eastAsia="宋体" w:hAnsi="宋体"/>
          <w:b/>
          <w:bCs/>
          <w:sz w:val="28"/>
          <w:szCs w:val="28"/>
        </w:rPr>
        <w:t>美国撤销对华芯片设计软件限令 三大EDA巨头恢复在华服务</w:t>
      </w:r>
    </w:p>
    <w:p w14:paraId="40C4F5AC" w14:textId="3BD12934" w:rsidR="00073A49" w:rsidRPr="00FC3604" w:rsidRDefault="000A6BE4" w:rsidP="000A6BE4">
      <w:pPr>
        <w:ind w:firstLineChars="200" w:firstLine="560"/>
        <w:rPr>
          <w:rFonts w:ascii="宋体" w:eastAsia="宋体" w:hAnsi="宋体" w:cs="Times New Roman" w:hint="eastAsia"/>
          <w:sz w:val="28"/>
          <w:szCs w:val="28"/>
        </w:rPr>
      </w:pPr>
      <w:r w:rsidRPr="000A6BE4">
        <w:rPr>
          <w:rFonts w:ascii="宋体" w:eastAsia="宋体" w:hAnsi="宋体" w:cs="Times New Roman"/>
          <w:sz w:val="28"/>
          <w:szCs w:val="28"/>
        </w:rPr>
        <w:t>美国商务部已通知全球三大芯片设计软件供应商——新思科技、楷登电子和西门子，此前要求其在华业务必须申请政府许可的规定现已撤销。西门子称已全面恢复中国客户对其软件和技术的访问权限，新思科技与楷登电子称正在逐步重启相关服务</w:t>
      </w:r>
      <w:r w:rsidR="00073A49" w:rsidRPr="00FC3604">
        <w:rPr>
          <w:rFonts w:ascii="宋体" w:eastAsia="宋体" w:hAnsi="宋体" w:cs="Times New Roman" w:hint="eastAsia"/>
          <w:sz w:val="28"/>
          <w:szCs w:val="28"/>
        </w:rPr>
        <w:t>。</w:t>
      </w:r>
    </w:p>
    <w:p w14:paraId="550833FC" w14:textId="167342C1" w:rsidR="00577007" w:rsidRDefault="000A6BE4">
      <w:pPr>
        <w:ind w:firstLineChars="200" w:firstLine="560"/>
        <w:rPr>
          <w:rFonts w:ascii="宋体" w:eastAsia="宋体" w:hAnsi="宋体" w:hint="eastAsia"/>
          <w:sz w:val="28"/>
          <w:szCs w:val="28"/>
        </w:rPr>
      </w:pPr>
      <w:r w:rsidRPr="00FC3604">
        <w:rPr>
          <w:rFonts w:ascii="宋体" w:eastAsia="宋体" w:hAnsi="宋体" w:cs="Times New Roman" w:hint="eastAsia"/>
          <w:sz w:val="28"/>
          <w:szCs w:val="28"/>
        </w:rPr>
        <w:t>美国商务部悄然撤销对</w:t>
      </w:r>
      <w:r w:rsidRPr="000A6BE4">
        <w:rPr>
          <w:rFonts w:ascii="宋体" w:eastAsia="宋体" w:hAnsi="宋体" w:cs="Times New Roman"/>
          <w:sz w:val="28"/>
          <w:szCs w:val="28"/>
        </w:rPr>
        <w:t>全球三大芯片设计软件供应商</w:t>
      </w:r>
      <w:r w:rsidRPr="00FC3604">
        <w:rPr>
          <w:rFonts w:ascii="宋体" w:eastAsia="宋体" w:hAnsi="宋体" w:cs="Times New Roman" w:hint="eastAsia"/>
          <w:sz w:val="28"/>
          <w:szCs w:val="28"/>
        </w:rPr>
        <w:t>在华业务许可限制</w:t>
      </w:r>
      <w:r w:rsidR="00073A49" w:rsidRPr="00FC3604">
        <w:rPr>
          <w:rFonts w:ascii="宋体" w:eastAsia="宋体" w:hAnsi="宋体" w:cs="Times New Roman" w:hint="eastAsia"/>
          <w:sz w:val="28"/>
          <w:szCs w:val="28"/>
        </w:rPr>
        <w:t>。</w:t>
      </w:r>
      <w:r w:rsidRPr="00FC3604">
        <w:rPr>
          <w:rFonts w:ascii="宋体" w:eastAsia="宋体" w:hAnsi="宋体" w:cs="Times New Roman" w:hint="eastAsia"/>
          <w:sz w:val="28"/>
          <w:szCs w:val="28"/>
        </w:rPr>
        <w:t>这标志着美国对华技术管制限制出现局部松动。此举可能反应出美国在遏制中国半导体行业发展的权衡。</w:t>
      </w:r>
      <w:r w:rsidRPr="00FC3604">
        <w:rPr>
          <w:rFonts w:ascii="宋体" w:eastAsia="宋体" w:hAnsi="宋体" w:cs="Times New Roman"/>
          <w:sz w:val="28"/>
          <w:szCs w:val="28"/>
        </w:rPr>
        <w:t>既要限制中国先进制程芯片发展，又避免</w:t>
      </w:r>
      <w:r w:rsidRPr="000A6BE4">
        <w:rPr>
          <w:rFonts w:ascii="宋体" w:eastAsia="宋体" w:hAnsi="宋体"/>
          <w:sz w:val="28"/>
          <w:szCs w:val="28"/>
        </w:rPr>
        <w:t>过度损害美企商业利益及全球半导体产业链稳定。</w:t>
      </w:r>
      <w:r w:rsidR="0068636B">
        <w:rPr>
          <w:rFonts w:ascii="宋体" w:eastAsia="宋体" w:hAnsi="宋体" w:hint="eastAsia"/>
          <w:sz w:val="28"/>
          <w:szCs w:val="28"/>
        </w:rPr>
        <w:t>预计美国政策越来会更趋动态化。</w:t>
      </w:r>
    </w:p>
    <w:p w14:paraId="36BF341F" w14:textId="0FFBFAB7" w:rsidR="00577007" w:rsidRDefault="00000000">
      <w:pPr>
        <w:ind w:firstLineChars="200" w:firstLine="562"/>
        <w:rPr>
          <w:rFonts w:ascii="宋体" w:eastAsia="宋体" w:hAnsi="宋体" w:cs="Times New Roman" w:hint="eastAsia"/>
          <w:b/>
          <w:bCs/>
          <w:sz w:val="28"/>
          <w:szCs w:val="28"/>
        </w:rPr>
      </w:pPr>
      <w:r>
        <w:rPr>
          <w:rFonts w:ascii="宋体" w:eastAsia="宋体" w:hAnsi="宋体" w:cs="Times New Roman" w:hint="eastAsia"/>
          <w:b/>
          <w:bCs/>
          <w:sz w:val="28"/>
          <w:szCs w:val="28"/>
        </w:rPr>
        <w:t>3.</w:t>
      </w:r>
      <w:r w:rsidR="0068636B" w:rsidRPr="0068636B">
        <w:rPr>
          <w:rFonts w:ascii="宋体" w:eastAsia="宋体" w:hAnsi="宋体" w:cs="Times New Roman"/>
          <w:b/>
          <w:bCs/>
          <w:sz w:val="28"/>
          <w:szCs w:val="28"/>
        </w:rPr>
        <w:t>美乌签署矿产利益共享协议</w:t>
      </w:r>
    </w:p>
    <w:p w14:paraId="0AD5929F" w14:textId="77777777" w:rsidR="0068636B" w:rsidRPr="0068636B" w:rsidRDefault="0068636B" w:rsidP="0068636B">
      <w:pPr>
        <w:ind w:firstLineChars="200" w:firstLine="560"/>
        <w:rPr>
          <w:rFonts w:ascii="宋体" w:eastAsia="宋体" w:hAnsi="宋体" w:cs="Times New Roman" w:hint="eastAsia"/>
          <w:sz w:val="28"/>
          <w:szCs w:val="28"/>
        </w:rPr>
      </w:pPr>
      <w:r w:rsidRPr="0068636B">
        <w:rPr>
          <w:rFonts w:ascii="宋体" w:eastAsia="宋体" w:hAnsi="宋体" w:cs="Times New Roman"/>
          <w:sz w:val="28"/>
          <w:szCs w:val="28"/>
        </w:rPr>
        <w:lastRenderedPageBreak/>
        <w:t>乌克兰总统泽连斯基签署修订《预算法典》的法案，允许将矿产开采资金转入乌美重建基金。当地时间5月1日，乌方透露，美乌签署了“美乌矿产协议”。该协议拟创建双方参与分配比例各占50%的基金。</w:t>
      </w:r>
    </w:p>
    <w:p w14:paraId="7A6512A4" w14:textId="1A19D69F" w:rsidR="00577007" w:rsidRDefault="0068636B">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乌方此举意在将本国矿产资源开采与加工等收益与美方深度绑定，</w:t>
      </w:r>
      <w:r w:rsidRPr="0068636B">
        <w:rPr>
          <w:rFonts w:ascii="宋体" w:eastAsia="宋体" w:hAnsi="宋体" w:cs="Times New Roman"/>
          <w:sz w:val="28"/>
          <w:szCs w:val="28"/>
        </w:rPr>
        <w:t>双方各占50%的分配模式既为战后重建引入资金，也凸显乌克兰在战争经济压力下对美妥协的现实</w:t>
      </w:r>
      <w:r w:rsidR="008949DF">
        <w:rPr>
          <w:rFonts w:ascii="宋体" w:eastAsia="宋体" w:hAnsi="宋体" w:cs="Times New Roman" w:hint="eastAsia"/>
          <w:sz w:val="28"/>
          <w:szCs w:val="28"/>
        </w:rPr>
        <w:t>。</w:t>
      </w:r>
      <w:r>
        <w:rPr>
          <w:rFonts w:ascii="宋体" w:eastAsia="宋体" w:hAnsi="宋体" w:cs="Times New Roman" w:hint="eastAsia"/>
          <w:sz w:val="28"/>
          <w:szCs w:val="28"/>
        </w:rPr>
        <w:t>美国将借此加强对乌克兰的经济渗透，同时</w:t>
      </w:r>
      <w:r w:rsidRPr="0068636B">
        <w:rPr>
          <w:rFonts w:ascii="宋体" w:eastAsia="宋体" w:hAnsi="宋体" w:cs="Times New Roman"/>
          <w:sz w:val="28"/>
          <w:szCs w:val="28"/>
        </w:rPr>
        <w:t>削弱对华关键矿产依赖</w:t>
      </w:r>
      <w:r>
        <w:rPr>
          <w:rFonts w:ascii="宋体" w:eastAsia="宋体" w:hAnsi="宋体" w:cs="Times New Roman" w:hint="eastAsia"/>
          <w:sz w:val="28"/>
          <w:szCs w:val="28"/>
        </w:rPr>
        <w:t>，为自身供应链安全布局</w:t>
      </w:r>
    </w:p>
    <w:p w14:paraId="1289141E" w14:textId="514EF9E9" w:rsidR="00577007" w:rsidRDefault="00000000">
      <w:pPr>
        <w:ind w:firstLineChars="200" w:firstLine="562"/>
        <w:rPr>
          <w:rFonts w:ascii="宋体" w:eastAsia="宋体" w:hAnsi="宋体" w:hint="eastAsia"/>
          <w:b/>
          <w:bCs/>
          <w:sz w:val="28"/>
          <w:szCs w:val="28"/>
        </w:rPr>
      </w:pPr>
      <w:r>
        <w:rPr>
          <w:rFonts w:ascii="宋体" w:eastAsia="宋体" w:hAnsi="宋体" w:hint="eastAsia"/>
          <w:b/>
          <w:bCs/>
          <w:sz w:val="28"/>
          <w:szCs w:val="28"/>
        </w:rPr>
        <w:t>4.</w:t>
      </w:r>
      <w:r w:rsidR="003468E7" w:rsidRPr="003468E7">
        <w:rPr>
          <w:rFonts w:hint="eastAsia"/>
        </w:rPr>
        <w:t xml:space="preserve"> </w:t>
      </w:r>
      <w:r w:rsidR="0033057D" w:rsidRPr="0033057D">
        <w:rPr>
          <w:rFonts w:ascii="宋体" w:eastAsia="宋体" w:hAnsi="宋体"/>
          <w:b/>
          <w:bCs/>
          <w:sz w:val="28"/>
          <w:szCs w:val="28"/>
        </w:rPr>
        <w:t>日本薪资涨幅创34年新高 央行加息再获关键支撑</w:t>
      </w:r>
    </w:p>
    <w:p w14:paraId="318F0FC7" w14:textId="77777777" w:rsidR="0033057D" w:rsidRPr="0033057D" w:rsidRDefault="0033057D" w:rsidP="0033057D">
      <w:pPr>
        <w:ind w:firstLine="420"/>
        <w:rPr>
          <w:rFonts w:ascii="宋体" w:eastAsia="宋体" w:hAnsi="宋体" w:cs="Times New Roman" w:hint="eastAsia"/>
          <w:sz w:val="28"/>
          <w:szCs w:val="28"/>
        </w:rPr>
      </w:pPr>
      <w:r w:rsidRPr="0033057D">
        <w:rPr>
          <w:rFonts w:ascii="宋体" w:eastAsia="宋体" w:hAnsi="宋体" w:cs="Times New Roman"/>
          <w:sz w:val="28"/>
          <w:szCs w:val="28"/>
        </w:rPr>
        <w:t>日本央行加息进程再获关键支持。最新数据显示，日本企业今年同意加薪5.25%，创下34年来最大涨幅。今年主要企业的夏季奖金平均增长4.37%，达到创纪录的99.1万日元。</w:t>
      </w:r>
    </w:p>
    <w:p w14:paraId="3C65256B" w14:textId="22CBE39F" w:rsidR="003468E7" w:rsidRDefault="0033057D" w:rsidP="003468E7">
      <w:pPr>
        <w:ind w:firstLine="420"/>
        <w:rPr>
          <w:rFonts w:ascii="宋体" w:eastAsia="宋体" w:hAnsi="宋体" w:hint="eastAsia"/>
          <w:sz w:val="28"/>
          <w:szCs w:val="28"/>
        </w:rPr>
      </w:pPr>
      <w:r w:rsidRPr="00FC3604">
        <w:rPr>
          <w:rFonts w:ascii="宋体" w:eastAsia="宋体" w:hAnsi="宋体" w:cs="Times New Roman" w:hint="eastAsia"/>
          <w:sz w:val="28"/>
          <w:szCs w:val="28"/>
        </w:rPr>
        <w:t>此举为日本央行退出超宽松货币政策提供了最关键的条件支持，日本经济可能已经初步</w:t>
      </w:r>
      <w:r>
        <w:rPr>
          <w:rFonts w:ascii="宋体" w:eastAsia="宋体" w:hAnsi="宋体" w:hint="eastAsia"/>
          <w:sz w:val="28"/>
          <w:szCs w:val="28"/>
        </w:rPr>
        <w:t>形成“薪资-通胀”良性循环，可以预计日本央行将加快后续加息节奏，但仍需警惕企业盈利是否能够持续支持薪资增长。</w:t>
      </w:r>
    </w:p>
    <w:p w14:paraId="710F7A21" w14:textId="54CD84DB" w:rsidR="00577007" w:rsidRDefault="00000000" w:rsidP="003468E7">
      <w:pPr>
        <w:ind w:firstLine="420"/>
        <w:rPr>
          <w:rFonts w:ascii="宋体" w:eastAsia="宋体" w:hAnsi="宋体" w:hint="eastAsia"/>
          <w:b/>
          <w:bCs/>
          <w:sz w:val="28"/>
          <w:szCs w:val="28"/>
        </w:rPr>
      </w:pPr>
      <w:r>
        <w:rPr>
          <w:rFonts w:ascii="宋体" w:eastAsia="宋体" w:hAnsi="宋体" w:hint="eastAsia"/>
          <w:b/>
          <w:bCs/>
          <w:sz w:val="28"/>
          <w:szCs w:val="28"/>
        </w:rPr>
        <w:t>5.</w:t>
      </w:r>
      <w:r w:rsidR="004D4F58" w:rsidRPr="004D4F58">
        <w:rPr>
          <w:rFonts w:ascii="宋体" w:eastAsia="宋体" w:hAnsi="宋体"/>
          <w:b/>
          <w:bCs/>
          <w:sz w:val="28"/>
          <w:szCs w:val="28"/>
        </w:rPr>
        <w:t>国务院全面推广上海自贸区77条创新政策</w:t>
      </w:r>
    </w:p>
    <w:p w14:paraId="1494AC2E" w14:textId="7426FAE7" w:rsidR="00CF7215" w:rsidRPr="00FC3604" w:rsidRDefault="004D4F58" w:rsidP="004D4F58">
      <w:pPr>
        <w:ind w:firstLineChars="200" w:firstLine="560"/>
        <w:rPr>
          <w:rFonts w:ascii="宋体" w:eastAsia="宋体" w:hAnsi="宋体" w:cs="Times New Roman" w:hint="eastAsia"/>
          <w:sz w:val="28"/>
          <w:szCs w:val="28"/>
        </w:rPr>
      </w:pPr>
      <w:r w:rsidRPr="004D4F58">
        <w:rPr>
          <w:rFonts w:ascii="宋体" w:eastAsia="宋体" w:hAnsi="宋体" w:cs="Times New Roman"/>
          <w:sz w:val="28"/>
          <w:szCs w:val="28"/>
        </w:rPr>
        <w:t>国务院发文复制推广上海自贸区77条试点措施，涵盖服务贸易、货物贸易、数字贸易、知识产权保护、政府采购改革、“边境后”管理制度改革、风险防控等7个方面。其中，加强数字人民币试点应用场景创新等34条措施复制推广至其他自贸区；推进电子支</w:t>
      </w:r>
      <w:r w:rsidRPr="004D4F58">
        <w:rPr>
          <w:rFonts w:ascii="宋体" w:eastAsia="宋体" w:hAnsi="宋体" w:cs="Times New Roman"/>
          <w:sz w:val="28"/>
          <w:szCs w:val="28"/>
        </w:rPr>
        <w:lastRenderedPageBreak/>
        <w:t>付跨境应用等43条措施复制推广至全国。</w:t>
      </w:r>
    </w:p>
    <w:p w14:paraId="4FD55EF8" w14:textId="0FA6598D" w:rsidR="00577007" w:rsidRDefault="004D4F58">
      <w:pPr>
        <w:ind w:firstLineChars="200" w:firstLine="560"/>
        <w:rPr>
          <w:rFonts w:ascii="宋体" w:eastAsia="宋体" w:hAnsi="宋体" w:hint="eastAsia"/>
          <w:sz w:val="28"/>
          <w:szCs w:val="28"/>
        </w:rPr>
      </w:pPr>
      <w:r w:rsidRPr="00FC3604">
        <w:rPr>
          <w:rFonts w:ascii="宋体" w:eastAsia="宋体" w:hAnsi="宋体" w:cs="Times New Roman" w:hint="eastAsia"/>
          <w:sz w:val="28"/>
          <w:szCs w:val="28"/>
        </w:rPr>
        <w:t>国务院此次大规模复制推广上海自贸区试点经验，标志着我国制度型开放进入深化阶段。77条</w:t>
      </w:r>
      <w:r>
        <w:rPr>
          <w:rFonts w:ascii="宋体" w:eastAsia="宋体" w:hAnsi="宋体" w:hint="eastAsia"/>
          <w:sz w:val="28"/>
          <w:szCs w:val="28"/>
        </w:rPr>
        <w:t>措施中，数字人民币场景创新、电子支付跨境应用等今日开放举措占比近半，凸显我国在数字金融赛道抢占国际规则制定权的战略意图。</w:t>
      </w:r>
    </w:p>
    <w:p w14:paraId="47A922BD" w14:textId="7ACC018F" w:rsidR="00577007" w:rsidRDefault="00000000">
      <w:pPr>
        <w:rPr>
          <w:rFonts w:ascii="宋体" w:eastAsia="宋体" w:hAnsi="宋体" w:hint="eastAsia"/>
          <w:b/>
          <w:bCs/>
          <w:sz w:val="28"/>
          <w:szCs w:val="28"/>
        </w:rPr>
      </w:pPr>
      <w:r>
        <w:rPr>
          <w:rFonts w:ascii="宋体" w:eastAsia="宋体" w:hAnsi="宋体" w:hint="eastAsia"/>
          <w:b/>
          <w:bCs/>
          <w:sz w:val="28"/>
          <w:szCs w:val="28"/>
        </w:rPr>
        <w:t>6.</w:t>
      </w:r>
      <w:r w:rsidR="004D4F58" w:rsidRPr="004D4F58">
        <w:rPr>
          <w:rFonts w:ascii="宋体" w:eastAsia="宋体" w:hAnsi="宋体"/>
          <w:b/>
          <w:bCs/>
          <w:sz w:val="28"/>
          <w:szCs w:val="28"/>
        </w:rPr>
        <w:t>工信部出手整治光伏行业低价乱象</w:t>
      </w:r>
    </w:p>
    <w:p w14:paraId="57BECCF3" w14:textId="77777777" w:rsidR="004D4F58" w:rsidRPr="004D4F58" w:rsidRDefault="004D4F58" w:rsidP="004D4F58">
      <w:pPr>
        <w:ind w:firstLineChars="200" w:firstLine="560"/>
        <w:rPr>
          <w:rFonts w:ascii="宋体" w:eastAsia="宋体" w:hAnsi="宋体" w:cs="Times New Roman" w:hint="eastAsia"/>
          <w:sz w:val="28"/>
          <w:szCs w:val="28"/>
        </w:rPr>
      </w:pPr>
      <w:r w:rsidRPr="004D4F58">
        <w:rPr>
          <w:rFonts w:ascii="宋体" w:eastAsia="宋体" w:hAnsi="宋体" w:cs="Times New Roman"/>
          <w:sz w:val="28"/>
          <w:szCs w:val="28"/>
        </w:rPr>
        <w:t>工信部召开光伏行业制造业企业座谈会，听取光伏行业企业及行业协会情况介绍和意见建议。工信部部长李乐成强调，要聚焦重点难点，依法依规、综合治理光伏行业低价无序竞争，引导企业提升产品品质，推动落后产能有序退出，实现健康、可持续发展。</w:t>
      </w:r>
    </w:p>
    <w:p w14:paraId="17853706" w14:textId="75470E5B" w:rsidR="00577007" w:rsidRDefault="004D4F58">
      <w:pPr>
        <w:ind w:firstLineChars="200" w:firstLine="560"/>
        <w:rPr>
          <w:rFonts w:ascii="宋体" w:eastAsia="宋体" w:hAnsi="宋体" w:hint="eastAsia"/>
          <w:sz w:val="28"/>
          <w:szCs w:val="28"/>
        </w:rPr>
      </w:pPr>
      <w:r w:rsidRPr="00FC3604">
        <w:rPr>
          <w:rFonts w:ascii="宋体" w:eastAsia="宋体" w:hAnsi="宋体" w:cs="Times New Roman" w:hint="eastAsia"/>
          <w:sz w:val="28"/>
          <w:szCs w:val="28"/>
        </w:rPr>
        <w:t>工信部此次召开光伏制造业座谈会</w:t>
      </w:r>
      <w:r w:rsidR="003D6934" w:rsidRPr="00FC3604">
        <w:rPr>
          <w:rFonts w:ascii="宋体" w:eastAsia="宋体" w:hAnsi="宋体" w:cs="Times New Roman" w:hint="eastAsia"/>
          <w:sz w:val="28"/>
          <w:szCs w:val="28"/>
        </w:rPr>
        <w:t>，明确整治低价无序竞争</w:t>
      </w:r>
      <w:r w:rsidR="007C5D09" w:rsidRPr="00FC3604">
        <w:rPr>
          <w:rFonts w:ascii="宋体" w:eastAsia="宋体" w:hAnsi="宋体" w:cs="Times New Roman"/>
          <w:sz w:val="28"/>
          <w:szCs w:val="28"/>
        </w:rPr>
        <w:t>。</w:t>
      </w:r>
      <w:r w:rsidR="003D6934" w:rsidRPr="00FC3604">
        <w:rPr>
          <w:rFonts w:ascii="宋体" w:eastAsia="宋体" w:hAnsi="宋体" w:cs="Times New Roman" w:hint="eastAsia"/>
          <w:sz w:val="28"/>
          <w:szCs w:val="28"/>
        </w:rPr>
        <w:t>折射出行业已进入深度调整期</w:t>
      </w:r>
      <w:r w:rsidR="003D6934">
        <w:rPr>
          <w:rFonts w:ascii="宋体" w:eastAsia="宋体" w:hAnsi="宋体" w:hint="eastAsia"/>
          <w:sz w:val="28"/>
          <w:szCs w:val="28"/>
        </w:rPr>
        <w:t>。随着光伏行业产能快速扩张，企业为了抢占市场份额掀起的价格战。光伏行业需要考虑在我国碳中和目标下，如何平衡产能规模与质量效益，将成为光伏行业可持续发展的关键命题。</w:t>
      </w:r>
    </w:p>
    <w:p w14:paraId="6C9CB1CD" w14:textId="31099F19" w:rsidR="00577007" w:rsidRDefault="00000000">
      <w:pPr>
        <w:ind w:firstLineChars="200" w:firstLine="562"/>
        <w:rPr>
          <w:rFonts w:ascii="宋体" w:eastAsia="宋体" w:hAnsi="宋体" w:cs="Times New Roman" w:hint="eastAsia"/>
          <w:b/>
          <w:bCs/>
          <w:sz w:val="28"/>
          <w:szCs w:val="28"/>
        </w:rPr>
      </w:pPr>
      <w:r>
        <w:rPr>
          <w:rFonts w:ascii="宋体" w:eastAsia="宋体" w:hAnsi="宋体" w:cs="Times New Roman" w:hint="eastAsia"/>
          <w:b/>
          <w:bCs/>
          <w:sz w:val="28"/>
          <w:szCs w:val="28"/>
        </w:rPr>
        <w:t>7.</w:t>
      </w:r>
      <w:r w:rsidR="007855D5" w:rsidRPr="007855D5">
        <w:rPr>
          <w:rFonts w:ascii="宋体" w:eastAsia="宋体" w:hAnsi="宋体" w:cs="Times New Roman"/>
          <w:b/>
          <w:bCs/>
          <w:sz w:val="28"/>
          <w:szCs w:val="28"/>
        </w:rPr>
        <w:t>国家药监局加码高端医疗器械监管</w:t>
      </w:r>
    </w:p>
    <w:p w14:paraId="525DF065" w14:textId="13A059C4" w:rsidR="00577007" w:rsidRDefault="007855D5" w:rsidP="007855D5">
      <w:pPr>
        <w:ind w:firstLineChars="200" w:firstLine="560"/>
        <w:rPr>
          <w:rFonts w:ascii="宋体" w:eastAsia="宋体" w:hAnsi="宋体" w:cs="Times New Roman" w:hint="eastAsia"/>
          <w:sz w:val="28"/>
          <w:szCs w:val="28"/>
        </w:rPr>
      </w:pPr>
      <w:r w:rsidRPr="007855D5">
        <w:rPr>
          <w:rFonts w:ascii="宋体" w:eastAsia="宋体" w:hAnsi="宋体" w:cs="Times New Roman"/>
          <w:sz w:val="28"/>
          <w:szCs w:val="28"/>
        </w:rPr>
        <w:t>国家药监局聚焦高端医疗器械的全生命周期监管，提出十项关键举措，全力支持高端医疗器械重大创新。对符合要求的“国内首创、国际领先，且具有显著临床应用价值”高端医疗器械继续实施创新特别审查。配合相关部门出台基于脑机接口技术的医疗器械产品支持政策。</w:t>
      </w:r>
      <w:r w:rsidR="002E3764">
        <w:rPr>
          <w:rFonts w:ascii="宋体" w:eastAsia="宋体" w:hAnsi="宋体" w:cs="Times New Roman" w:hint="eastAsia"/>
          <w:sz w:val="28"/>
          <w:szCs w:val="28"/>
        </w:rPr>
        <w:t xml:space="preserve"> </w:t>
      </w:r>
    </w:p>
    <w:p w14:paraId="78DC3452" w14:textId="3EF5E932" w:rsidR="00577007" w:rsidRDefault="007855D5">
      <w:pPr>
        <w:ind w:firstLineChars="200" w:firstLine="560"/>
        <w:rPr>
          <w:rFonts w:ascii="宋体" w:eastAsia="宋体" w:hAnsi="宋体" w:hint="eastAsia"/>
          <w:sz w:val="28"/>
          <w:szCs w:val="28"/>
        </w:rPr>
      </w:pPr>
      <w:r>
        <w:rPr>
          <w:rFonts w:ascii="宋体" w:eastAsia="宋体" w:hAnsi="宋体" w:hint="eastAsia"/>
          <w:sz w:val="28"/>
          <w:szCs w:val="28"/>
        </w:rPr>
        <w:lastRenderedPageBreak/>
        <w:t>国家药监局此次推出的十项关键举措，全力支持高端医疗器械创新发展，瞄准高端医疗设备全生命周期监管，这释放出了我国精准扶持高新科技产业创新。但在创新加速的同时，可能仍需平衡审批效率与临床验证的严谨性仍是监管智慧的重要考验。</w:t>
      </w:r>
    </w:p>
    <w:p w14:paraId="32D021A1" w14:textId="19E2CD3A" w:rsidR="00577007" w:rsidRDefault="00000000">
      <w:pPr>
        <w:rPr>
          <w:rFonts w:ascii="宋体" w:eastAsia="宋体" w:hAnsi="宋体" w:hint="eastAsia"/>
          <w:b/>
          <w:bCs/>
          <w:sz w:val="28"/>
          <w:szCs w:val="28"/>
        </w:rPr>
      </w:pPr>
      <w:r>
        <w:rPr>
          <w:rFonts w:ascii="宋体" w:eastAsia="宋体" w:hAnsi="宋体" w:hint="eastAsia"/>
          <w:b/>
          <w:bCs/>
          <w:sz w:val="28"/>
          <w:szCs w:val="28"/>
        </w:rPr>
        <w:t>8.</w:t>
      </w:r>
      <w:r w:rsidR="00DB78AB" w:rsidRPr="00DB78AB">
        <w:rPr>
          <w:rFonts w:ascii="宋体" w:eastAsia="宋体" w:hAnsi="宋体"/>
          <w:b/>
          <w:bCs/>
          <w:sz w:val="28"/>
          <w:szCs w:val="28"/>
        </w:rPr>
        <w:t>充电宝召回事件引发连锁反应 </w:t>
      </w:r>
    </w:p>
    <w:bookmarkEnd w:id="0"/>
    <w:bookmarkEnd w:id="1"/>
    <w:p w14:paraId="144E11C2" w14:textId="77777777" w:rsidR="00DB78AB" w:rsidRPr="00DB78AB" w:rsidRDefault="00DB78AB" w:rsidP="00DB78AB">
      <w:pPr>
        <w:ind w:firstLineChars="200" w:firstLine="560"/>
        <w:rPr>
          <w:rFonts w:ascii="宋体" w:eastAsia="宋体" w:hAnsi="宋体" w:cs="Times New Roman" w:hint="eastAsia"/>
          <w:sz w:val="28"/>
          <w:szCs w:val="28"/>
        </w:rPr>
      </w:pPr>
      <w:r w:rsidRPr="00DB78AB">
        <w:rPr>
          <w:rFonts w:ascii="宋体" w:eastAsia="宋体" w:hAnsi="宋体" w:cs="Times New Roman"/>
          <w:sz w:val="28"/>
          <w:szCs w:val="28"/>
        </w:rPr>
        <w:t>受充电宝召回事件影响，罗马仕经营陷入困境。多名罗马仕员工称，自7月1号开始，罗马仕内部已经陆续通知员工全面停工停产，员工工资只发到6月份。</w:t>
      </w:r>
    </w:p>
    <w:p w14:paraId="2062AF16" w14:textId="6196AE0D" w:rsidR="00577007" w:rsidRDefault="00DB78AB">
      <w:pPr>
        <w:ind w:firstLineChars="200" w:firstLine="560"/>
        <w:rPr>
          <w:rFonts w:ascii="宋体" w:eastAsia="宋体" w:hAnsi="宋体" w:hint="eastAsia"/>
          <w:sz w:val="28"/>
          <w:szCs w:val="28"/>
        </w:rPr>
      </w:pPr>
      <w:r>
        <w:rPr>
          <w:rFonts w:ascii="宋体" w:eastAsia="宋体" w:hAnsi="宋体" w:hint="eastAsia"/>
          <w:sz w:val="28"/>
          <w:szCs w:val="28"/>
        </w:rPr>
        <w:t>罗马仕因充电宝质量问题引发的召回事件</w:t>
      </w:r>
      <w:r w:rsidR="00590C9E">
        <w:rPr>
          <w:rFonts w:ascii="宋体" w:eastAsia="宋体" w:hAnsi="宋体" w:hint="eastAsia"/>
          <w:sz w:val="28"/>
          <w:szCs w:val="28"/>
        </w:rPr>
        <w:t>持续发酵，最终导致个供应商企业停工停产的经营困境。这暴露出了我国消费电子行业在产业快速扩张中的产品质量管控短板。后续需要关注企业能否走出困境，涅槃重生。</w:t>
      </w:r>
    </w:p>
    <w:p w14:paraId="04E3B40A" w14:textId="77777777" w:rsidR="00577007" w:rsidRDefault="00577007">
      <w:pPr>
        <w:ind w:firstLineChars="200" w:firstLine="560"/>
        <w:rPr>
          <w:rFonts w:ascii="宋体" w:eastAsia="宋体" w:hAnsi="宋体" w:hint="eastAsia"/>
          <w:sz w:val="28"/>
          <w:szCs w:val="28"/>
        </w:rPr>
      </w:pPr>
    </w:p>
    <w:p w14:paraId="2E7E9D54" w14:textId="77777777" w:rsidR="00577007" w:rsidRDefault="00000000">
      <w:pPr>
        <w:ind w:firstLineChars="200" w:firstLine="562"/>
        <w:rPr>
          <w:rFonts w:ascii="宋体" w:eastAsia="宋体" w:hAnsi="宋体" w:hint="eastAsia"/>
          <w:b/>
          <w:bCs/>
          <w:sz w:val="28"/>
          <w:szCs w:val="28"/>
          <w:u w:val="single"/>
        </w:rPr>
      </w:pPr>
      <w:r>
        <w:rPr>
          <w:rFonts w:ascii="宋体" w:eastAsia="宋体" w:hAnsi="宋体" w:hint="eastAsia"/>
          <w:b/>
          <w:bCs/>
          <w:sz w:val="28"/>
          <w:szCs w:val="28"/>
          <w:u w:val="single"/>
        </w:rPr>
        <w:t>三、建议</w:t>
      </w:r>
    </w:p>
    <w:p w14:paraId="4A66741C" w14:textId="13A8F65D" w:rsidR="00577007" w:rsidRDefault="00FC3604" w:rsidP="00216821">
      <w:pPr>
        <w:ind w:firstLineChars="200" w:firstLine="560"/>
        <w:rPr>
          <w:rFonts w:ascii="宋体" w:eastAsia="宋体" w:hAnsi="宋体" w:hint="eastAsia"/>
          <w:sz w:val="28"/>
          <w:szCs w:val="28"/>
        </w:rPr>
      </w:pPr>
      <w:r w:rsidRPr="00FC3604">
        <w:rPr>
          <w:rFonts w:ascii="宋体" w:eastAsia="宋体" w:hAnsi="宋体"/>
          <w:sz w:val="28"/>
          <w:szCs w:val="28"/>
        </w:rPr>
        <w:t>当前市场呈现结构性机会与风险并存的格局。建议投资者保持均衡配置</w:t>
      </w:r>
      <w:r>
        <w:rPr>
          <w:rFonts w:ascii="宋体" w:eastAsia="宋体" w:hAnsi="宋体" w:hint="eastAsia"/>
          <w:sz w:val="28"/>
          <w:szCs w:val="28"/>
        </w:rPr>
        <w:t>。</w:t>
      </w:r>
      <w:r w:rsidRPr="00FC3604">
        <w:rPr>
          <w:rFonts w:ascii="宋体" w:eastAsia="宋体" w:hAnsi="宋体"/>
          <w:sz w:val="28"/>
          <w:szCs w:val="28"/>
        </w:rPr>
        <w:t>在把握科技成长主线的同时，适当关注政策驱动下的价值修复机会</w:t>
      </w:r>
      <w:r>
        <w:rPr>
          <w:rFonts w:ascii="宋体" w:eastAsia="宋体" w:hAnsi="宋体" w:hint="eastAsia"/>
          <w:sz w:val="28"/>
          <w:szCs w:val="28"/>
        </w:rPr>
        <w:t>。</w:t>
      </w:r>
      <w:r w:rsidRPr="00FC3604">
        <w:rPr>
          <w:rFonts w:ascii="宋体" w:eastAsia="宋体" w:hAnsi="宋体"/>
          <w:sz w:val="28"/>
          <w:szCs w:val="28"/>
        </w:rPr>
        <w:t>可重点关注以下方向</w:t>
      </w:r>
      <w:r>
        <w:rPr>
          <w:rFonts w:ascii="宋体" w:eastAsia="宋体" w:hAnsi="宋体" w:hint="eastAsia"/>
          <w:sz w:val="28"/>
          <w:szCs w:val="28"/>
        </w:rPr>
        <w:t>，聚焦国产替代加速的半导体设备，材料与智能汽车产业链并把握数字经济基础设施以及AI应用商业落地的成长机会，并持续关注医疗行业。</w:t>
      </w:r>
      <w:r w:rsidRPr="00FC3604">
        <w:rPr>
          <w:rFonts w:ascii="宋体" w:eastAsia="宋体" w:hAnsi="宋体"/>
          <w:sz w:val="28"/>
          <w:szCs w:val="28"/>
        </w:rPr>
        <w:t>操作上宜保持适度灵活，注意控制仓位，防范市场波动风险</w:t>
      </w:r>
      <w:r>
        <w:rPr>
          <w:rFonts w:ascii="宋体" w:eastAsia="宋体" w:hAnsi="宋体" w:hint="eastAsia"/>
          <w:sz w:val="28"/>
          <w:szCs w:val="28"/>
        </w:rPr>
        <w:t>。</w:t>
      </w:r>
    </w:p>
    <w:sectPr w:rsidR="005770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33FB3" w14:textId="77777777" w:rsidR="00D16D17" w:rsidRDefault="00D16D17">
      <w:pPr>
        <w:spacing w:line="240" w:lineRule="auto"/>
        <w:rPr>
          <w:rFonts w:hint="eastAsia"/>
        </w:rPr>
      </w:pPr>
      <w:r>
        <w:separator/>
      </w:r>
    </w:p>
  </w:endnote>
  <w:endnote w:type="continuationSeparator" w:id="0">
    <w:p w14:paraId="32CB3B18" w14:textId="77777777" w:rsidR="00D16D17" w:rsidRDefault="00D16D1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28A47" w14:textId="77777777" w:rsidR="00D16D17" w:rsidRDefault="00D16D17">
      <w:pPr>
        <w:spacing w:after="0"/>
        <w:rPr>
          <w:rFonts w:hint="eastAsia"/>
        </w:rPr>
      </w:pPr>
      <w:r>
        <w:separator/>
      </w:r>
    </w:p>
  </w:footnote>
  <w:footnote w:type="continuationSeparator" w:id="0">
    <w:p w14:paraId="08C87920" w14:textId="77777777" w:rsidR="00D16D17" w:rsidRDefault="00D16D17">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D0B1C"/>
    <w:multiLevelType w:val="multilevel"/>
    <w:tmpl w:val="6BFD0B1C"/>
    <w:lvl w:ilvl="0">
      <w:start w:val="1"/>
      <w:numFmt w:val="japaneseCounting"/>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9697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AD"/>
    <w:rsid w:val="00021135"/>
    <w:rsid w:val="00022BD2"/>
    <w:rsid w:val="000243C0"/>
    <w:rsid w:val="0003524F"/>
    <w:rsid w:val="00067FDC"/>
    <w:rsid w:val="00071383"/>
    <w:rsid w:val="00073A49"/>
    <w:rsid w:val="00077781"/>
    <w:rsid w:val="00091DCE"/>
    <w:rsid w:val="000A6BE4"/>
    <w:rsid w:val="000C6FD0"/>
    <w:rsid w:val="000C7145"/>
    <w:rsid w:val="00113F88"/>
    <w:rsid w:val="001420C1"/>
    <w:rsid w:val="00150EA4"/>
    <w:rsid w:val="00154203"/>
    <w:rsid w:val="001E5AF5"/>
    <w:rsid w:val="00216821"/>
    <w:rsid w:val="002B7D70"/>
    <w:rsid w:val="002E3764"/>
    <w:rsid w:val="00312308"/>
    <w:rsid w:val="00327E46"/>
    <w:rsid w:val="0033057D"/>
    <w:rsid w:val="003460AD"/>
    <w:rsid w:val="003468E7"/>
    <w:rsid w:val="003A6FD4"/>
    <w:rsid w:val="003C4DE2"/>
    <w:rsid w:val="003D3389"/>
    <w:rsid w:val="003D6423"/>
    <w:rsid w:val="003D6934"/>
    <w:rsid w:val="00411C1B"/>
    <w:rsid w:val="00430D2F"/>
    <w:rsid w:val="004668D3"/>
    <w:rsid w:val="00494F71"/>
    <w:rsid w:val="004A4A23"/>
    <w:rsid w:val="004D4F58"/>
    <w:rsid w:val="004E32A3"/>
    <w:rsid w:val="004F7D2C"/>
    <w:rsid w:val="0052225D"/>
    <w:rsid w:val="0052254A"/>
    <w:rsid w:val="00524F64"/>
    <w:rsid w:val="00532999"/>
    <w:rsid w:val="00577007"/>
    <w:rsid w:val="00590C9E"/>
    <w:rsid w:val="005D4656"/>
    <w:rsid w:val="005E0B01"/>
    <w:rsid w:val="00604A65"/>
    <w:rsid w:val="0060755C"/>
    <w:rsid w:val="00641057"/>
    <w:rsid w:val="00645461"/>
    <w:rsid w:val="0068636B"/>
    <w:rsid w:val="006B0511"/>
    <w:rsid w:val="006E0522"/>
    <w:rsid w:val="006E181C"/>
    <w:rsid w:val="00742CD0"/>
    <w:rsid w:val="00761FDB"/>
    <w:rsid w:val="00781639"/>
    <w:rsid w:val="007855D5"/>
    <w:rsid w:val="007970A4"/>
    <w:rsid w:val="007A5D57"/>
    <w:rsid w:val="007B21F0"/>
    <w:rsid w:val="007C180D"/>
    <w:rsid w:val="007C5D09"/>
    <w:rsid w:val="007F4E8B"/>
    <w:rsid w:val="008042B9"/>
    <w:rsid w:val="008302C4"/>
    <w:rsid w:val="00834123"/>
    <w:rsid w:val="008636F5"/>
    <w:rsid w:val="0088237B"/>
    <w:rsid w:val="00883656"/>
    <w:rsid w:val="008949DF"/>
    <w:rsid w:val="00896D9B"/>
    <w:rsid w:val="008A2CF8"/>
    <w:rsid w:val="008B3DE5"/>
    <w:rsid w:val="008C1106"/>
    <w:rsid w:val="008C5296"/>
    <w:rsid w:val="008D4E60"/>
    <w:rsid w:val="008F7D4A"/>
    <w:rsid w:val="00926349"/>
    <w:rsid w:val="00933812"/>
    <w:rsid w:val="009630DD"/>
    <w:rsid w:val="00976EE3"/>
    <w:rsid w:val="009779A8"/>
    <w:rsid w:val="009A0FB7"/>
    <w:rsid w:val="009C3B68"/>
    <w:rsid w:val="009C76B5"/>
    <w:rsid w:val="009D41C1"/>
    <w:rsid w:val="009D7852"/>
    <w:rsid w:val="009F11B5"/>
    <w:rsid w:val="00A35927"/>
    <w:rsid w:val="00A906F6"/>
    <w:rsid w:val="00AC6224"/>
    <w:rsid w:val="00AE15DD"/>
    <w:rsid w:val="00AE7FC4"/>
    <w:rsid w:val="00B04EF7"/>
    <w:rsid w:val="00B25204"/>
    <w:rsid w:val="00B52C38"/>
    <w:rsid w:val="00B572A7"/>
    <w:rsid w:val="00B654D3"/>
    <w:rsid w:val="00B7049E"/>
    <w:rsid w:val="00B774EB"/>
    <w:rsid w:val="00B84C51"/>
    <w:rsid w:val="00BA1769"/>
    <w:rsid w:val="00C2762B"/>
    <w:rsid w:val="00C5100B"/>
    <w:rsid w:val="00C81438"/>
    <w:rsid w:val="00CA68F5"/>
    <w:rsid w:val="00CB7C25"/>
    <w:rsid w:val="00CF7215"/>
    <w:rsid w:val="00D133B3"/>
    <w:rsid w:val="00D16D17"/>
    <w:rsid w:val="00D43D51"/>
    <w:rsid w:val="00D677F7"/>
    <w:rsid w:val="00DA4D7A"/>
    <w:rsid w:val="00DB63AB"/>
    <w:rsid w:val="00DB78AB"/>
    <w:rsid w:val="00DF18B1"/>
    <w:rsid w:val="00E14A5D"/>
    <w:rsid w:val="00E35264"/>
    <w:rsid w:val="00E746DE"/>
    <w:rsid w:val="00E8092F"/>
    <w:rsid w:val="00EE6E76"/>
    <w:rsid w:val="00F36F17"/>
    <w:rsid w:val="00F963E8"/>
    <w:rsid w:val="00FC3604"/>
    <w:rsid w:val="00FF04F0"/>
    <w:rsid w:val="0B174EDD"/>
    <w:rsid w:val="17F31AE2"/>
    <w:rsid w:val="31F913C4"/>
    <w:rsid w:val="3B5A188F"/>
    <w:rsid w:val="4F7800DE"/>
    <w:rsid w:val="64A73D65"/>
    <w:rsid w:val="77AA2D01"/>
    <w:rsid w:val="79EB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2CD86"/>
  <w15:docId w15:val="{26777416-A347-4DFF-8C3E-569DE931C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5498">
      <w:bodyDiv w:val="1"/>
      <w:marLeft w:val="0"/>
      <w:marRight w:val="0"/>
      <w:marTop w:val="0"/>
      <w:marBottom w:val="0"/>
      <w:divBdr>
        <w:top w:val="none" w:sz="0" w:space="0" w:color="auto"/>
        <w:left w:val="none" w:sz="0" w:space="0" w:color="auto"/>
        <w:bottom w:val="none" w:sz="0" w:space="0" w:color="auto"/>
        <w:right w:val="none" w:sz="0" w:space="0" w:color="auto"/>
      </w:divBdr>
    </w:div>
    <w:div w:id="108083856">
      <w:bodyDiv w:val="1"/>
      <w:marLeft w:val="0"/>
      <w:marRight w:val="0"/>
      <w:marTop w:val="0"/>
      <w:marBottom w:val="0"/>
      <w:divBdr>
        <w:top w:val="none" w:sz="0" w:space="0" w:color="auto"/>
        <w:left w:val="none" w:sz="0" w:space="0" w:color="auto"/>
        <w:bottom w:val="none" w:sz="0" w:space="0" w:color="auto"/>
        <w:right w:val="none" w:sz="0" w:space="0" w:color="auto"/>
      </w:divBdr>
    </w:div>
    <w:div w:id="286935976">
      <w:bodyDiv w:val="1"/>
      <w:marLeft w:val="0"/>
      <w:marRight w:val="0"/>
      <w:marTop w:val="0"/>
      <w:marBottom w:val="0"/>
      <w:divBdr>
        <w:top w:val="none" w:sz="0" w:space="0" w:color="auto"/>
        <w:left w:val="none" w:sz="0" w:space="0" w:color="auto"/>
        <w:bottom w:val="none" w:sz="0" w:space="0" w:color="auto"/>
        <w:right w:val="none" w:sz="0" w:space="0" w:color="auto"/>
      </w:divBdr>
    </w:div>
    <w:div w:id="294145261">
      <w:bodyDiv w:val="1"/>
      <w:marLeft w:val="0"/>
      <w:marRight w:val="0"/>
      <w:marTop w:val="0"/>
      <w:marBottom w:val="0"/>
      <w:divBdr>
        <w:top w:val="none" w:sz="0" w:space="0" w:color="auto"/>
        <w:left w:val="none" w:sz="0" w:space="0" w:color="auto"/>
        <w:bottom w:val="none" w:sz="0" w:space="0" w:color="auto"/>
        <w:right w:val="none" w:sz="0" w:space="0" w:color="auto"/>
      </w:divBdr>
    </w:div>
    <w:div w:id="347947177">
      <w:bodyDiv w:val="1"/>
      <w:marLeft w:val="0"/>
      <w:marRight w:val="0"/>
      <w:marTop w:val="0"/>
      <w:marBottom w:val="0"/>
      <w:divBdr>
        <w:top w:val="none" w:sz="0" w:space="0" w:color="auto"/>
        <w:left w:val="none" w:sz="0" w:space="0" w:color="auto"/>
        <w:bottom w:val="none" w:sz="0" w:space="0" w:color="auto"/>
        <w:right w:val="none" w:sz="0" w:space="0" w:color="auto"/>
      </w:divBdr>
    </w:div>
    <w:div w:id="372273919">
      <w:bodyDiv w:val="1"/>
      <w:marLeft w:val="0"/>
      <w:marRight w:val="0"/>
      <w:marTop w:val="0"/>
      <w:marBottom w:val="0"/>
      <w:divBdr>
        <w:top w:val="none" w:sz="0" w:space="0" w:color="auto"/>
        <w:left w:val="none" w:sz="0" w:space="0" w:color="auto"/>
        <w:bottom w:val="none" w:sz="0" w:space="0" w:color="auto"/>
        <w:right w:val="none" w:sz="0" w:space="0" w:color="auto"/>
      </w:divBdr>
    </w:div>
    <w:div w:id="455103827">
      <w:bodyDiv w:val="1"/>
      <w:marLeft w:val="0"/>
      <w:marRight w:val="0"/>
      <w:marTop w:val="0"/>
      <w:marBottom w:val="0"/>
      <w:divBdr>
        <w:top w:val="none" w:sz="0" w:space="0" w:color="auto"/>
        <w:left w:val="none" w:sz="0" w:space="0" w:color="auto"/>
        <w:bottom w:val="none" w:sz="0" w:space="0" w:color="auto"/>
        <w:right w:val="none" w:sz="0" w:space="0" w:color="auto"/>
      </w:divBdr>
    </w:div>
    <w:div w:id="534655805">
      <w:bodyDiv w:val="1"/>
      <w:marLeft w:val="0"/>
      <w:marRight w:val="0"/>
      <w:marTop w:val="0"/>
      <w:marBottom w:val="0"/>
      <w:divBdr>
        <w:top w:val="none" w:sz="0" w:space="0" w:color="auto"/>
        <w:left w:val="none" w:sz="0" w:space="0" w:color="auto"/>
        <w:bottom w:val="none" w:sz="0" w:space="0" w:color="auto"/>
        <w:right w:val="none" w:sz="0" w:space="0" w:color="auto"/>
      </w:divBdr>
    </w:div>
    <w:div w:id="632757888">
      <w:bodyDiv w:val="1"/>
      <w:marLeft w:val="0"/>
      <w:marRight w:val="0"/>
      <w:marTop w:val="0"/>
      <w:marBottom w:val="0"/>
      <w:divBdr>
        <w:top w:val="none" w:sz="0" w:space="0" w:color="auto"/>
        <w:left w:val="none" w:sz="0" w:space="0" w:color="auto"/>
        <w:bottom w:val="none" w:sz="0" w:space="0" w:color="auto"/>
        <w:right w:val="none" w:sz="0" w:space="0" w:color="auto"/>
      </w:divBdr>
    </w:div>
    <w:div w:id="760217821">
      <w:bodyDiv w:val="1"/>
      <w:marLeft w:val="0"/>
      <w:marRight w:val="0"/>
      <w:marTop w:val="0"/>
      <w:marBottom w:val="0"/>
      <w:divBdr>
        <w:top w:val="none" w:sz="0" w:space="0" w:color="auto"/>
        <w:left w:val="none" w:sz="0" w:space="0" w:color="auto"/>
        <w:bottom w:val="none" w:sz="0" w:space="0" w:color="auto"/>
        <w:right w:val="none" w:sz="0" w:space="0" w:color="auto"/>
      </w:divBdr>
    </w:div>
    <w:div w:id="780876473">
      <w:bodyDiv w:val="1"/>
      <w:marLeft w:val="0"/>
      <w:marRight w:val="0"/>
      <w:marTop w:val="0"/>
      <w:marBottom w:val="0"/>
      <w:divBdr>
        <w:top w:val="none" w:sz="0" w:space="0" w:color="auto"/>
        <w:left w:val="none" w:sz="0" w:space="0" w:color="auto"/>
        <w:bottom w:val="none" w:sz="0" w:space="0" w:color="auto"/>
        <w:right w:val="none" w:sz="0" w:space="0" w:color="auto"/>
      </w:divBdr>
    </w:div>
    <w:div w:id="792594790">
      <w:bodyDiv w:val="1"/>
      <w:marLeft w:val="0"/>
      <w:marRight w:val="0"/>
      <w:marTop w:val="0"/>
      <w:marBottom w:val="0"/>
      <w:divBdr>
        <w:top w:val="none" w:sz="0" w:space="0" w:color="auto"/>
        <w:left w:val="none" w:sz="0" w:space="0" w:color="auto"/>
        <w:bottom w:val="none" w:sz="0" w:space="0" w:color="auto"/>
        <w:right w:val="none" w:sz="0" w:space="0" w:color="auto"/>
      </w:divBdr>
    </w:div>
    <w:div w:id="850530317">
      <w:bodyDiv w:val="1"/>
      <w:marLeft w:val="0"/>
      <w:marRight w:val="0"/>
      <w:marTop w:val="0"/>
      <w:marBottom w:val="0"/>
      <w:divBdr>
        <w:top w:val="none" w:sz="0" w:space="0" w:color="auto"/>
        <w:left w:val="none" w:sz="0" w:space="0" w:color="auto"/>
        <w:bottom w:val="none" w:sz="0" w:space="0" w:color="auto"/>
        <w:right w:val="none" w:sz="0" w:space="0" w:color="auto"/>
      </w:divBdr>
    </w:div>
    <w:div w:id="859662111">
      <w:bodyDiv w:val="1"/>
      <w:marLeft w:val="0"/>
      <w:marRight w:val="0"/>
      <w:marTop w:val="0"/>
      <w:marBottom w:val="0"/>
      <w:divBdr>
        <w:top w:val="none" w:sz="0" w:space="0" w:color="auto"/>
        <w:left w:val="none" w:sz="0" w:space="0" w:color="auto"/>
        <w:bottom w:val="none" w:sz="0" w:space="0" w:color="auto"/>
        <w:right w:val="none" w:sz="0" w:space="0" w:color="auto"/>
      </w:divBdr>
    </w:div>
    <w:div w:id="915550930">
      <w:bodyDiv w:val="1"/>
      <w:marLeft w:val="0"/>
      <w:marRight w:val="0"/>
      <w:marTop w:val="0"/>
      <w:marBottom w:val="0"/>
      <w:divBdr>
        <w:top w:val="none" w:sz="0" w:space="0" w:color="auto"/>
        <w:left w:val="none" w:sz="0" w:space="0" w:color="auto"/>
        <w:bottom w:val="none" w:sz="0" w:space="0" w:color="auto"/>
        <w:right w:val="none" w:sz="0" w:space="0" w:color="auto"/>
      </w:divBdr>
    </w:div>
    <w:div w:id="1005328962">
      <w:bodyDiv w:val="1"/>
      <w:marLeft w:val="0"/>
      <w:marRight w:val="0"/>
      <w:marTop w:val="0"/>
      <w:marBottom w:val="0"/>
      <w:divBdr>
        <w:top w:val="none" w:sz="0" w:space="0" w:color="auto"/>
        <w:left w:val="none" w:sz="0" w:space="0" w:color="auto"/>
        <w:bottom w:val="none" w:sz="0" w:space="0" w:color="auto"/>
        <w:right w:val="none" w:sz="0" w:space="0" w:color="auto"/>
      </w:divBdr>
    </w:div>
    <w:div w:id="1005740226">
      <w:bodyDiv w:val="1"/>
      <w:marLeft w:val="0"/>
      <w:marRight w:val="0"/>
      <w:marTop w:val="0"/>
      <w:marBottom w:val="0"/>
      <w:divBdr>
        <w:top w:val="none" w:sz="0" w:space="0" w:color="auto"/>
        <w:left w:val="none" w:sz="0" w:space="0" w:color="auto"/>
        <w:bottom w:val="none" w:sz="0" w:space="0" w:color="auto"/>
        <w:right w:val="none" w:sz="0" w:space="0" w:color="auto"/>
      </w:divBdr>
    </w:div>
    <w:div w:id="1054234494">
      <w:bodyDiv w:val="1"/>
      <w:marLeft w:val="0"/>
      <w:marRight w:val="0"/>
      <w:marTop w:val="0"/>
      <w:marBottom w:val="0"/>
      <w:divBdr>
        <w:top w:val="none" w:sz="0" w:space="0" w:color="auto"/>
        <w:left w:val="none" w:sz="0" w:space="0" w:color="auto"/>
        <w:bottom w:val="none" w:sz="0" w:space="0" w:color="auto"/>
        <w:right w:val="none" w:sz="0" w:space="0" w:color="auto"/>
      </w:divBdr>
    </w:div>
    <w:div w:id="1071342687">
      <w:bodyDiv w:val="1"/>
      <w:marLeft w:val="0"/>
      <w:marRight w:val="0"/>
      <w:marTop w:val="0"/>
      <w:marBottom w:val="0"/>
      <w:divBdr>
        <w:top w:val="none" w:sz="0" w:space="0" w:color="auto"/>
        <w:left w:val="none" w:sz="0" w:space="0" w:color="auto"/>
        <w:bottom w:val="none" w:sz="0" w:space="0" w:color="auto"/>
        <w:right w:val="none" w:sz="0" w:space="0" w:color="auto"/>
      </w:divBdr>
    </w:div>
    <w:div w:id="1081828405">
      <w:bodyDiv w:val="1"/>
      <w:marLeft w:val="0"/>
      <w:marRight w:val="0"/>
      <w:marTop w:val="0"/>
      <w:marBottom w:val="0"/>
      <w:divBdr>
        <w:top w:val="none" w:sz="0" w:space="0" w:color="auto"/>
        <w:left w:val="none" w:sz="0" w:space="0" w:color="auto"/>
        <w:bottom w:val="none" w:sz="0" w:space="0" w:color="auto"/>
        <w:right w:val="none" w:sz="0" w:space="0" w:color="auto"/>
      </w:divBdr>
    </w:div>
    <w:div w:id="1100613059">
      <w:bodyDiv w:val="1"/>
      <w:marLeft w:val="0"/>
      <w:marRight w:val="0"/>
      <w:marTop w:val="0"/>
      <w:marBottom w:val="0"/>
      <w:divBdr>
        <w:top w:val="none" w:sz="0" w:space="0" w:color="auto"/>
        <w:left w:val="none" w:sz="0" w:space="0" w:color="auto"/>
        <w:bottom w:val="none" w:sz="0" w:space="0" w:color="auto"/>
        <w:right w:val="none" w:sz="0" w:space="0" w:color="auto"/>
      </w:divBdr>
    </w:div>
    <w:div w:id="1109274760">
      <w:bodyDiv w:val="1"/>
      <w:marLeft w:val="0"/>
      <w:marRight w:val="0"/>
      <w:marTop w:val="0"/>
      <w:marBottom w:val="0"/>
      <w:divBdr>
        <w:top w:val="none" w:sz="0" w:space="0" w:color="auto"/>
        <w:left w:val="none" w:sz="0" w:space="0" w:color="auto"/>
        <w:bottom w:val="none" w:sz="0" w:space="0" w:color="auto"/>
        <w:right w:val="none" w:sz="0" w:space="0" w:color="auto"/>
      </w:divBdr>
    </w:div>
    <w:div w:id="1238319569">
      <w:bodyDiv w:val="1"/>
      <w:marLeft w:val="0"/>
      <w:marRight w:val="0"/>
      <w:marTop w:val="0"/>
      <w:marBottom w:val="0"/>
      <w:divBdr>
        <w:top w:val="none" w:sz="0" w:space="0" w:color="auto"/>
        <w:left w:val="none" w:sz="0" w:space="0" w:color="auto"/>
        <w:bottom w:val="none" w:sz="0" w:space="0" w:color="auto"/>
        <w:right w:val="none" w:sz="0" w:space="0" w:color="auto"/>
      </w:divBdr>
    </w:div>
    <w:div w:id="1259366217">
      <w:bodyDiv w:val="1"/>
      <w:marLeft w:val="0"/>
      <w:marRight w:val="0"/>
      <w:marTop w:val="0"/>
      <w:marBottom w:val="0"/>
      <w:divBdr>
        <w:top w:val="none" w:sz="0" w:space="0" w:color="auto"/>
        <w:left w:val="none" w:sz="0" w:space="0" w:color="auto"/>
        <w:bottom w:val="none" w:sz="0" w:space="0" w:color="auto"/>
        <w:right w:val="none" w:sz="0" w:space="0" w:color="auto"/>
      </w:divBdr>
    </w:div>
    <w:div w:id="1331711808">
      <w:bodyDiv w:val="1"/>
      <w:marLeft w:val="0"/>
      <w:marRight w:val="0"/>
      <w:marTop w:val="0"/>
      <w:marBottom w:val="0"/>
      <w:divBdr>
        <w:top w:val="none" w:sz="0" w:space="0" w:color="auto"/>
        <w:left w:val="none" w:sz="0" w:space="0" w:color="auto"/>
        <w:bottom w:val="none" w:sz="0" w:space="0" w:color="auto"/>
        <w:right w:val="none" w:sz="0" w:space="0" w:color="auto"/>
      </w:divBdr>
    </w:div>
    <w:div w:id="1578049291">
      <w:bodyDiv w:val="1"/>
      <w:marLeft w:val="0"/>
      <w:marRight w:val="0"/>
      <w:marTop w:val="0"/>
      <w:marBottom w:val="0"/>
      <w:divBdr>
        <w:top w:val="none" w:sz="0" w:space="0" w:color="auto"/>
        <w:left w:val="none" w:sz="0" w:space="0" w:color="auto"/>
        <w:bottom w:val="none" w:sz="0" w:space="0" w:color="auto"/>
        <w:right w:val="none" w:sz="0" w:space="0" w:color="auto"/>
      </w:divBdr>
    </w:div>
    <w:div w:id="1600412604">
      <w:bodyDiv w:val="1"/>
      <w:marLeft w:val="0"/>
      <w:marRight w:val="0"/>
      <w:marTop w:val="0"/>
      <w:marBottom w:val="0"/>
      <w:divBdr>
        <w:top w:val="none" w:sz="0" w:space="0" w:color="auto"/>
        <w:left w:val="none" w:sz="0" w:space="0" w:color="auto"/>
        <w:bottom w:val="none" w:sz="0" w:space="0" w:color="auto"/>
        <w:right w:val="none" w:sz="0" w:space="0" w:color="auto"/>
      </w:divBdr>
    </w:div>
    <w:div w:id="1662467141">
      <w:bodyDiv w:val="1"/>
      <w:marLeft w:val="0"/>
      <w:marRight w:val="0"/>
      <w:marTop w:val="0"/>
      <w:marBottom w:val="0"/>
      <w:divBdr>
        <w:top w:val="none" w:sz="0" w:space="0" w:color="auto"/>
        <w:left w:val="none" w:sz="0" w:space="0" w:color="auto"/>
        <w:bottom w:val="none" w:sz="0" w:space="0" w:color="auto"/>
        <w:right w:val="none" w:sz="0" w:space="0" w:color="auto"/>
      </w:divBdr>
    </w:div>
    <w:div w:id="1772970442">
      <w:bodyDiv w:val="1"/>
      <w:marLeft w:val="0"/>
      <w:marRight w:val="0"/>
      <w:marTop w:val="0"/>
      <w:marBottom w:val="0"/>
      <w:divBdr>
        <w:top w:val="none" w:sz="0" w:space="0" w:color="auto"/>
        <w:left w:val="none" w:sz="0" w:space="0" w:color="auto"/>
        <w:bottom w:val="none" w:sz="0" w:space="0" w:color="auto"/>
        <w:right w:val="none" w:sz="0" w:space="0" w:color="auto"/>
      </w:divBdr>
    </w:div>
    <w:div w:id="1806971370">
      <w:bodyDiv w:val="1"/>
      <w:marLeft w:val="0"/>
      <w:marRight w:val="0"/>
      <w:marTop w:val="0"/>
      <w:marBottom w:val="0"/>
      <w:divBdr>
        <w:top w:val="none" w:sz="0" w:space="0" w:color="auto"/>
        <w:left w:val="none" w:sz="0" w:space="0" w:color="auto"/>
        <w:bottom w:val="none" w:sz="0" w:space="0" w:color="auto"/>
        <w:right w:val="none" w:sz="0" w:space="0" w:color="auto"/>
      </w:divBdr>
    </w:div>
    <w:div w:id="1826430561">
      <w:bodyDiv w:val="1"/>
      <w:marLeft w:val="0"/>
      <w:marRight w:val="0"/>
      <w:marTop w:val="0"/>
      <w:marBottom w:val="0"/>
      <w:divBdr>
        <w:top w:val="none" w:sz="0" w:space="0" w:color="auto"/>
        <w:left w:val="none" w:sz="0" w:space="0" w:color="auto"/>
        <w:bottom w:val="none" w:sz="0" w:space="0" w:color="auto"/>
        <w:right w:val="none" w:sz="0" w:space="0" w:color="auto"/>
      </w:divBdr>
    </w:div>
    <w:div w:id="1901594867">
      <w:bodyDiv w:val="1"/>
      <w:marLeft w:val="0"/>
      <w:marRight w:val="0"/>
      <w:marTop w:val="0"/>
      <w:marBottom w:val="0"/>
      <w:divBdr>
        <w:top w:val="none" w:sz="0" w:space="0" w:color="auto"/>
        <w:left w:val="none" w:sz="0" w:space="0" w:color="auto"/>
        <w:bottom w:val="none" w:sz="0" w:space="0" w:color="auto"/>
        <w:right w:val="none" w:sz="0" w:space="0" w:color="auto"/>
      </w:divBdr>
    </w:div>
    <w:div w:id="2081247948">
      <w:bodyDiv w:val="1"/>
      <w:marLeft w:val="0"/>
      <w:marRight w:val="0"/>
      <w:marTop w:val="0"/>
      <w:marBottom w:val="0"/>
      <w:divBdr>
        <w:top w:val="none" w:sz="0" w:space="0" w:color="auto"/>
        <w:left w:val="none" w:sz="0" w:space="0" w:color="auto"/>
        <w:bottom w:val="none" w:sz="0" w:space="0" w:color="auto"/>
        <w:right w:val="none" w:sz="0" w:space="0" w:color="auto"/>
      </w:divBdr>
    </w:div>
    <w:div w:id="2090270758">
      <w:bodyDiv w:val="1"/>
      <w:marLeft w:val="0"/>
      <w:marRight w:val="0"/>
      <w:marTop w:val="0"/>
      <w:marBottom w:val="0"/>
      <w:divBdr>
        <w:top w:val="none" w:sz="0" w:space="0" w:color="auto"/>
        <w:left w:val="none" w:sz="0" w:space="0" w:color="auto"/>
        <w:bottom w:val="none" w:sz="0" w:space="0" w:color="auto"/>
        <w:right w:val="none" w:sz="0" w:space="0" w:color="auto"/>
      </w:divBdr>
    </w:div>
    <w:div w:id="20918528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3C3E-A846-4F34-8902-A6907A8FF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型俊 林</dc:creator>
  <cp:lastModifiedBy>Funk yankeen</cp:lastModifiedBy>
  <cp:revision>5</cp:revision>
  <dcterms:created xsi:type="dcterms:W3CDTF">2025-07-04T06:12:00Z</dcterms:created>
  <dcterms:modified xsi:type="dcterms:W3CDTF">2025-07-04T08:26:00Z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B63B171E943144C2A84CF6700413A5AF_12</vt:lpwstr>
  </property>
</Properties>
</file>