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DIMENSIONES DE VARIABLE DEPENDIENTE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hd w:fill="2b2a27" w:val="clear"/>
        <w:spacing w:before="0" w:lineRule="auto"/>
        <w:ind w:left="720" w:hanging="360"/>
        <w:rPr>
          <w:color w:val="ffffff"/>
        </w:rPr>
      </w:pPr>
      <w:r w:rsidDel="00000000" w:rsidR="00000000" w:rsidRPr="00000000">
        <w:rPr>
          <w:rFonts w:ascii="Georgia" w:cs="Georgia" w:eastAsia="Georgia" w:hAnsi="Georgia"/>
          <w:color w:val="ffffff"/>
          <w:rtl w:val="0"/>
        </w:rPr>
        <w:t xml:space="preserve">Similitud de contenido: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Porcentaje de coincidencia textual con otras fuentes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Patrones de escritura similares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Uso de frases o pasajes idénticos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hd w:fill="2b2a27" w:val="clear"/>
        <w:spacing w:before="0" w:lineRule="auto"/>
        <w:ind w:left="720" w:hanging="360"/>
        <w:rPr>
          <w:color w:val="ffffff"/>
        </w:rPr>
      </w:pPr>
      <w:r w:rsidDel="00000000" w:rsidR="00000000" w:rsidRPr="00000000">
        <w:rPr>
          <w:rFonts w:ascii="Georgia" w:cs="Georgia" w:eastAsia="Georgia" w:hAnsi="Georgia"/>
          <w:color w:val="ffffff"/>
          <w:rtl w:val="0"/>
        </w:rPr>
        <w:t xml:space="preserve">Análisis de fuentes: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Citación adecuada de referencias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Correcta atribución de ideas y textos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Identificación de fuentes originales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hd w:fill="2b2a27" w:val="clear"/>
        <w:spacing w:before="0" w:lineRule="auto"/>
        <w:ind w:left="720" w:hanging="360"/>
        <w:rPr>
          <w:color w:val="ffffff"/>
        </w:rPr>
      </w:pPr>
      <w:r w:rsidDel="00000000" w:rsidR="00000000" w:rsidRPr="00000000">
        <w:rPr>
          <w:rFonts w:ascii="Georgia" w:cs="Georgia" w:eastAsia="Georgia" w:hAnsi="Georgia"/>
          <w:color w:val="ffffff"/>
          <w:rtl w:val="0"/>
        </w:rPr>
        <w:t xml:space="preserve">Consistencia de estilo: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Cambios bruscos de estilo de redacción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Variaciones injustificadas en tono, vocabulario o estructuras gramaticales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Incoherencias en el formato o presentación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hd w:fill="2b2a27" w:val="clear"/>
        <w:spacing w:before="0" w:lineRule="auto"/>
        <w:ind w:left="720" w:hanging="360"/>
        <w:rPr>
          <w:color w:val="ffffff"/>
        </w:rPr>
      </w:pPr>
      <w:r w:rsidDel="00000000" w:rsidR="00000000" w:rsidRPr="00000000">
        <w:rPr>
          <w:rFonts w:ascii="Georgia" w:cs="Georgia" w:eastAsia="Georgia" w:hAnsi="Georgia"/>
          <w:color w:val="ffffff"/>
          <w:rtl w:val="0"/>
        </w:rPr>
        <w:t xml:space="preserve">Actividad en línea: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Registro de accesos y actividad durante la evaluación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Patrones de navegación sospechosos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  <w:highlight w:val="yellow"/>
        </w:rPr>
      </w:pPr>
      <w:r w:rsidDel="00000000" w:rsidR="00000000" w:rsidRPr="00000000">
        <w:rPr>
          <w:rFonts w:ascii="Georgia" w:cs="Georgia" w:eastAsia="Georgia" w:hAnsi="Georgia"/>
          <w:highlight w:val="yellow"/>
          <w:rtl w:val="0"/>
        </w:rPr>
        <w:t xml:space="preserve">Tiempos de respuesta anómalos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hd w:fill="2b2a27" w:val="clear"/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color w:val="ffffff"/>
          <w:rtl w:val="0"/>
        </w:rPr>
        <w:t xml:space="preserve">Análisis biométric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  <w:highlight w:val="yellow"/>
        </w:rPr>
      </w:pPr>
      <w:r w:rsidDel="00000000" w:rsidR="00000000" w:rsidRPr="00000000">
        <w:rPr>
          <w:rFonts w:ascii="Georgia" w:cs="Georgia" w:eastAsia="Georgia" w:hAnsi="Georgia"/>
          <w:highlight w:val="yellow"/>
          <w:rtl w:val="0"/>
        </w:rPr>
        <w:t xml:space="preserve">Reconocimiento facial del estudiante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  <w:highlight w:val="yellow"/>
        </w:rPr>
      </w:pPr>
      <w:r w:rsidDel="00000000" w:rsidR="00000000" w:rsidRPr="00000000">
        <w:rPr>
          <w:rFonts w:ascii="Georgia" w:cs="Georgia" w:eastAsia="Georgia" w:hAnsi="Georgia"/>
          <w:highlight w:val="yellow"/>
          <w:rtl w:val="0"/>
        </w:rPr>
        <w:t xml:space="preserve">Patrones de conducta y movimiento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f5f4ef" w:space="0" w:sz="0" w:val="none"/>
          <w:left w:color="f5f4ef" w:space="0" w:sz="0" w:val="none"/>
          <w:bottom w:color="f5f4ef" w:space="0" w:sz="0" w:val="none"/>
          <w:right w:color="f5f4ef" w:space="0" w:sz="0" w:val="none"/>
          <w:between w:color="f5f4ef" w:space="0" w:sz="0" w:val="none"/>
        </w:pBdr>
        <w:spacing w:before="0" w:lineRule="auto"/>
        <w:ind w:left="1440" w:hanging="360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Detección de múltiples personas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¿De qué manera influye el desarrollo de una aplicación web de evaluaciones en los tiempos de respuesta anormales de los exámenes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modalidad semipresencial de la Universidad Continental, 2024</w:t>
      </w:r>
      <w:r w:rsidDel="00000000" w:rsidR="00000000" w:rsidRPr="00000000">
        <w:rPr>
          <w:rtl w:val="0"/>
        </w:rPr>
        <w:t xml:space="preserve">   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f5f4e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Georgia" w:cs="Georgia" w:eastAsia="Georgia" w:hAnsi="Georgia"/>
        <w:color w:val="f5f4e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