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A1398" w14:textId="16BAC974" w:rsidR="00B65292" w:rsidRDefault="00B65292">
      <w:pP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</w:pPr>
      <w:r w:rsidRPr="00B65292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Interest Income</w:t>
      </w:r>
    </w:p>
    <w:p w14:paraId="05237672" w14:textId="77777777" w:rsidR="00B65292" w:rsidRPr="00B65292" w:rsidRDefault="00B65292" w:rsidP="00B65292">
      <w:pPr>
        <w:shd w:val="clear" w:color="auto" w:fill="FFFFFF"/>
        <w:spacing w:after="0" w:line="240" w:lineRule="auto"/>
        <w:ind w:firstLine="555"/>
        <w:rPr>
          <w:rFonts w:ascii="Times New Roman" w:eastAsia="Times New Roman" w:hAnsi="Times New Roman" w:cs="Times New Roman"/>
          <w:color w:val="212529"/>
          <w:kern w:val="0"/>
          <w:sz w:val="20"/>
          <w:szCs w:val="20"/>
          <w14:ligatures w14:val="none"/>
        </w:rPr>
      </w:pPr>
      <w:r w:rsidRPr="00B6529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Interest income </w:t>
      </w:r>
      <w:r w:rsidRPr="00B6529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highlight w:val="green"/>
          <w14:ligatures w14:val="none"/>
        </w:rPr>
        <w:t>increased</w:t>
      </w:r>
      <w:r w:rsidRPr="00B6529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6529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highlight w:val="yellow"/>
          <w14:ligatures w14:val="none"/>
        </w:rPr>
        <w:t>$212 million</w:t>
      </w:r>
      <w:r w:rsidRPr="00B6529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, or </w:t>
      </w:r>
      <w:r w:rsidRPr="00B6529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highlight w:val="yellow"/>
          <w14:ligatures w14:val="none"/>
        </w:rPr>
        <w:t>815%</w:t>
      </w:r>
      <w:r w:rsidRPr="00B6529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, in the three months ended June 30, </w:t>
      </w:r>
      <w:proofErr w:type="gramStart"/>
      <w:r w:rsidRPr="00B6529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2023</w:t>
      </w:r>
      <w:proofErr w:type="gramEnd"/>
      <w:r w:rsidRPr="00B6529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and </w:t>
      </w:r>
      <w:r w:rsidRPr="00B6529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highlight w:val="green"/>
          <w14:ligatures w14:val="none"/>
        </w:rPr>
        <w:t>increased</w:t>
      </w:r>
      <w:r w:rsidRPr="00B6529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6529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highlight w:val="yellow"/>
          <w14:ligatures w14:val="none"/>
        </w:rPr>
        <w:t>$397 million</w:t>
      </w:r>
      <w:r w:rsidRPr="00B6529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, or </w:t>
      </w:r>
      <w:r w:rsidRPr="00B6529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highlight w:val="yellow"/>
          <w14:ligatures w14:val="none"/>
        </w:rPr>
        <w:t>735%</w:t>
      </w:r>
      <w:r w:rsidRPr="00B6529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, in the six months ended June 30, 2023 as compared to the three and six months ended June 30, 2022, respectively. This </w:t>
      </w:r>
      <w:r w:rsidRPr="00B6529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highlight w:val="green"/>
          <w14:ligatures w14:val="none"/>
        </w:rPr>
        <w:t>increase</w:t>
      </w:r>
      <w:r w:rsidRPr="00B6529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was primarily due to </w:t>
      </w:r>
      <w:r w:rsidRPr="00B6529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highlight w:val="green"/>
          <w14:ligatures w14:val="none"/>
        </w:rPr>
        <w:t>higher interest earned on our cash and cash equivalents</w:t>
      </w:r>
      <w:r w:rsidRPr="00B6529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and </w:t>
      </w:r>
      <w:r w:rsidRPr="00B6529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highlight w:val="green"/>
          <w14:ligatures w14:val="none"/>
        </w:rPr>
        <w:t>short-term investments</w:t>
      </w:r>
      <w:r w:rsidRPr="00B6529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in the three and six months ended June 30, </w:t>
      </w:r>
      <w:proofErr w:type="gramStart"/>
      <w:r w:rsidRPr="00B6529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2023</w:t>
      </w:r>
      <w:proofErr w:type="gramEnd"/>
      <w:r w:rsidRPr="00B6529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as compared to the prior periods. This was driven by an </w:t>
      </w:r>
      <w:r w:rsidRPr="00B6529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highlight w:val="green"/>
          <w14:ligatures w14:val="none"/>
        </w:rPr>
        <w:t>increase</w:t>
      </w:r>
      <w:r w:rsidRPr="00B6529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in our </w:t>
      </w:r>
      <w:r w:rsidRPr="00B6529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highlight w:val="green"/>
          <w14:ligatures w14:val="none"/>
        </w:rPr>
        <w:t>short-term investments balance and rising interest rates</w:t>
      </w:r>
      <w:r w:rsidRPr="00B6529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.</w:t>
      </w:r>
    </w:p>
    <w:p w14:paraId="3C83A458" w14:textId="77777777" w:rsidR="00B65292" w:rsidRPr="00B65292" w:rsidRDefault="00B65292" w:rsidP="00B652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B808FB" w14:textId="049E3818" w:rsidR="00B65292" w:rsidRDefault="00B65292">
      <w:pP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</w:pPr>
      <w:r w:rsidRPr="00B65292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Other (Expense) Income, Net</w:t>
      </w:r>
    </w:p>
    <w:p w14:paraId="1A139DE4" w14:textId="77777777" w:rsidR="00B65292" w:rsidRDefault="00B65292" w:rsidP="00B65292">
      <w:pPr>
        <w:pStyle w:val="NormalWeb"/>
        <w:shd w:val="clear" w:color="auto" w:fill="FFFFFF"/>
        <w:spacing w:before="0" w:beforeAutospacing="0" w:after="0" w:afterAutospacing="0"/>
        <w:ind w:firstLine="555"/>
        <w:rPr>
          <w:color w:val="212529"/>
          <w:sz w:val="20"/>
          <w:szCs w:val="20"/>
        </w:rPr>
      </w:pPr>
      <w:r>
        <w:rPr>
          <w:color w:val="000000"/>
          <w:sz w:val="20"/>
          <w:szCs w:val="20"/>
        </w:rPr>
        <w:t xml:space="preserve">Other income, net, changed favorably by </w:t>
      </w:r>
      <w:r w:rsidRPr="00DC1159">
        <w:rPr>
          <w:color w:val="000000"/>
          <w:sz w:val="20"/>
          <w:szCs w:val="20"/>
          <w:highlight w:val="yellow"/>
        </w:rPr>
        <w:t>$300 million</w:t>
      </w:r>
      <w:r>
        <w:rPr>
          <w:color w:val="000000"/>
          <w:sz w:val="20"/>
          <w:szCs w:val="20"/>
        </w:rPr>
        <w:t xml:space="preserve"> in the three months ended June 30, </w:t>
      </w:r>
      <w:proofErr w:type="gramStart"/>
      <w:r>
        <w:rPr>
          <w:color w:val="000000"/>
          <w:sz w:val="20"/>
          <w:szCs w:val="20"/>
        </w:rPr>
        <w:t>2023</w:t>
      </w:r>
      <w:proofErr w:type="gramEnd"/>
      <w:r>
        <w:rPr>
          <w:color w:val="000000"/>
          <w:sz w:val="20"/>
          <w:szCs w:val="20"/>
        </w:rPr>
        <w:t xml:space="preserve"> as compared to the three months ended June 30, 2022. Other income, net, changed favorably by </w:t>
      </w:r>
      <w:r w:rsidRPr="00DC1159">
        <w:rPr>
          <w:color w:val="000000"/>
          <w:sz w:val="20"/>
          <w:szCs w:val="20"/>
          <w:highlight w:val="yellow"/>
        </w:rPr>
        <w:t>$196 million</w:t>
      </w:r>
      <w:r>
        <w:rPr>
          <w:color w:val="000000"/>
          <w:sz w:val="20"/>
          <w:szCs w:val="20"/>
        </w:rPr>
        <w:t xml:space="preserve"> in the six months ended June 30, </w:t>
      </w:r>
      <w:proofErr w:type="gramStart"/>
      <w:r>
        <w:rPr>
          <w:color w:val="000000"/>
          <w:sz w:val="20"/>
          <w:szCs w:val="20"/>
        </w:rPr>
        <w:t>2023</w:t>
      </w:r>
      <w:proofErr w:type="gramEnd"/>
      <w:r>
        <w:rPr>
          <w:color w:val="000000"/>
          <w:sz w:val="20"/>
          <w:szCs w:val="20"/>
        </w:rPr>
        <w:t xml:space="preserve"> as compared to the six months ended June 30, 2022. The favorable changes were primarily due to </w:t>
      </w:r>
      <w:r w:rsidRPr="00DC1159">
        <w:rPr>
          <w:color w:val="000000"/>
          <w:sz w:val="20"/>
          <w:szCs w:val="20"/>
          <w:highlight w:val="green"/>
        </w:rPr>
        <w:t>fluctuations in foreign currency exchange rates on our intercompany balances.</w:t>
      </w:r>
    </w:p>
    <w:p w14:paraId="7D9CEE45" w14:textId="77777777" w:rsidR="00B65292" w:rsidRDefault="00B65292" w:rsidP="00B65292">
      <w:pPr>
        <w:pStyle w:val="NormalWeb"/>
        <w:shd w:val="clear" w:color="auto" w:fill="FFFFFF"/>
        <w:spacing w:before="280" w:beforeAutospacing="0" w:after="0" w:afterAutospacing="0"/>
        <w:rPr>
          <w:color w:val="212529"/>
          <w:sz w:val="20"/>
          <w:szCs w:val="20"/>
        </w:rPr>
      </w:pPr>
      <w:r>
        <w:rPr>
          <w:b/>
          <w:bCs/>
          <w:i/>
          <w:iCs/>
          <w:color w:val="000000"/>
          <w:sz w:val="20"/>
          <w:szCs w:val="20"/>
        </w:rPr>
        <w:t>Provision for Income Taxes</w:t>
      </w:r>
    </w:p>
    <w:p w14:paraId="65700698" w14:textId="77777777" w:rsidR="00B65292" w:rsidRDefault="00B65292" w:rsidP="00B65292">
      <w:pPr>
        <w:pStyle w:val="NormalWeb"/>
        <w:shd w:val="clear" w:color="auto" w:fill="FFFFFF"/>
        <w:spacing w:before="0" w:beforeAutospacing="0" w:after="0" w:afterAutospacing="0"/>
        <w:ind w:firstLine="555"/>
        <w:rPr>
          <w:color w:val="212529"/>
          <w:sz w:val="20"/>
          <w:szCs w:val="20"/>
        </w:rPr>
      </w:pPr>
      <w:r>
        <w:rPr>
          <w:color w:val="000000"/>
          <w:sz w:val="20"/>
          <w:szCs w:val="20"/>
        </w:rPr>
        <w:t xml:space="preserve">Our provision for income taxes </w:t>
      </w:r>
      <w:r w:rsidRPr="00DC1159">
        <w:rPr>
          <w:color w:val="000000"/>
          <w:sz w:val="20"/>
          <w:szCs w:val="20"/>
          <w:highlight w:val="green"/>
        </w:rPr>
        <w:t>increased</w:t>
      </w:r>
      <w:r>
        <w:rPr>
          <w:color w:val="000000"/>
          <w:sz w:val="20"/>
          <w:szCs w:val="20"/>
        </w:rPr>
        <w:t xml:space="preserve"> by </w:t>
      </w:r>
      <w:r w:rsidRPr="00DC1159">
        <w:rPr>
          <w:color w:val="000000"/>
          <w:sz w:val="20"/>
          <w:szCs w:val="20"/>
          <w:highlight w:val="yellow"/>
        </w:rPr>
        <w:t>$118 million</w:t>
      </w:r>
      <w:r>
        <w:rPr>
          <w:color w:val="000000"/>
          <w:sz w:val="20"/>
          <w:szCs w:val="20"/>
        </w:rPr>
        <w:t xml:space="preserve">, or </w:t>
      </w:r>
      <w:r w:rsidRPr="00DC1159">
        <w:rPr>
          <w:color w:val="000000"/>
          <w:sz w:val="20"/>
          <w:szCs w:val="20"/>
          <w:highlight w:val="yellow"/>
        </w:rPr>
        <w:t>58%</w:t>
      </w:r>
      <w:r>
        <w:rPr>
          <w:color w:val="000000"/>
          <w:sz w:val="20"/>
          <w:szCs w:val="20"/>
        </w:rPr>
        <w:t xml:space="preserve">, in the three months ended June 30, 2023 and </w:t>
      </w:r>
      <w:r w:rsidRPr="00DC1159">
        <w:rPr>
          <w:color w:val="000000"/>
          <w:sz w:val="20"/>
          <w:szCs w:val="20"/>
          <w:highlight w:val="green"/>
        </w:rPr>
        <w:t>increased</w:t>
      </w:r>
      <w:r>
        <w:rPr>
          <w:color w:val="000000"/>
          <w:sz w:val="20"/>
          <w:szCs w:val="20"/>
        </w:rPr>
        <w:t xml:space="preserve"> by </w:t>
      </w:r>
      <w:r w:rsidRPr="00DC1159">
        <w:rPr>
          <w:color w:val="000000"/>
          <w:sz w:val="20"/>
          <w:szCs w:val="20"/>
          <w:highlight w:val="yellow"/>
        </w:rPr>
        <w:t>$33 million</w:t>
      </w:r>
      <w:r>
        <w:rPr>
          <w:color w:val="000000"/>
          <w:sz w:val="20"/>
          <w:szCs w:val="20"/>
        </w:rPr>
        <w:t xml:space="preserve">, or </w:t>
      </w:r>
      <w:r w:rsidRPr="00DC1159">
        <w:rPr>
          <w:color w:val="000000"/>
          <w:sz w:val="20"/>
          <w:szCs w:val="20"/>
          <w:highlight w:val="yellow"/>
        </w:rPr>
        <w:t>6%</w:t>
      </w:r>
      <w:r>
        <w:rPr>
          <w:color w:val="000000"/>
          <w:sz w:val="20"/>
          <w:szCs w:val="20"/>
        </w:rPr>
        <w:t xml:space="preserve">, in the six months ended June 30, 2023 as compared to the three months ended June 30, 2022 and six months ended June 30, 2022, respectively, primarily due to the </w:t>
      </w:r>
      <w:r w:rsidRPr="00DC1159">
        <w:rPr>
          <w:color w:val="000000"/>
          <w:sz w:val="20"/>
          <w:szCs w:val="20"/>
          <w:highlight w:val="green"/>
        </w:rPr>
        <w:t>change in our pre-tax income year over year and changes in mix of jurisdictional earnings.</w:t>
      </w:r>
    </w:p>
    <w:p w14:paraId="15B9D5A8" w14:textId="77777777" w:rsidR="00B65292" w:rsidRDefault="00B65292" w:rsidP="00B65292">
      <w:pPr>
        <w:pStyle w:val="NormalWeb"/>
        <w:shd w:val="clear" w:color="auto" w:fill="FFFFFF"/>
        <w:spacing w:before="180" w:beforeAutospacing="0" w:after="0" w:afterAutospacing="0"/>
        <w:ind w:firstLine="555"/>
        <w:rPr>
          <w:color w:val="212529"/>
          <w:sz w:val="20"/>
          <w:szCs w:val="20"/>
        </w:rPr>
      </w:pPr>
      <w:r>
        <w:rPr>
          <w:color w:val="000000"/>
          <w:sz w:val="20"/>
          <w:szCs w:val="20"/>
        </w:rPr>
        <w:t xml:space="preserve">Our effective tax rate </w:t>
      </w:r>
      <w:r w:rsidRPr="00DC1159">
        <w:rPr>
          <w:color w:val="000000"/>
          <w:sz w:val="20"/>
          <w:szCs w:val="20"/>
          <w:highlight w:val="green"/>
        </w:rPr>
        <w:t>increased</w:t>
      </w:r>
      <w:r>
        <w:rPr>
          <w:color w:val="000000"/>
          <w:sz w:val="20"/>
          <w:szCs w:val="20"/>
        </w:rPr>
        <w:t xml:space="preserve"> from </w:t>
      </w:r>
      <w:r w:rsidRPr="00DC1159">
        <w:rPr>
          <w:color w:val="000000"/>
          <w:sz w:val="20"/>
          <w:szCs w:val="20"/>
          <w:highlight w:val="yellow"/>
        </w:rPr>
        <w:t>8%</w:t>
      </w:r>
      <w:r>
        <w:rPr>
          <w:color w:val="000000"/>
          <w:sz w:val="20"/>
          <w:szCs w:val="20"/>
        </w:rPr>
        <w:t xml:space="preserve"> to </w:t>
      </w:r>
      <w:r w:rsidRPr="00DC1159">
        <w:rPr>
          <w:color w:val="000000"/>
          <w:sz w:val="20"/>
          <w:szCs w:val="20"/>
          <w:highlight w:val="yellow"/>
        </w:rPr>
        <w:t>11%</w:t>
      </w:r>
      <w:r>
        <w:rPr>
          <w:color w:val="000000"/>
          <w:sz w:val="20"/>
          <w:szCs w:val="20"/>
        </w:rPr>
        <w:t xml:space="preserve"> in the three months ended June 30, </w:t>
      </w:r>
      <w:proofErr w:type="gramStart"/>
      <w:r>
        <w:rPr>
          <w:color w:val="000000"/>
          <w:sz w:val="20"/>
          <w:szCs w:val="20"/>
        </w:rPr>
        <w:t>2023</w:t>
      </w:r>
      <w:proofErr w:type="gramEnd"/>
      <w:r>
        <w:rPr>
          <w:color w:val="000000"/>
          <w:sz w:val="20"/>
          <w:szCs w:val="20"/>
        </w:rPr>
        <w:t xml:space="preserve"> and </w:t>
      </w:r>
      <w:r w:rsidRPr="00DC1159">
        <w:rPr>
          <w:color w:val="000000"/>
          <w:sz w:val="20"/>
          <w:szCs w:val="20"/>
          <w:highlight w:val="green"/>
        </w:rPr>
        <w:t>increased</w:t>
      </w:r>
      <w:r>
        <w:rPr>
          <w:color w:val="000000"/>
          <w:sz w:val="20"/>
          <w:szCs w:val="20"/>
        </w:rPr>
        <w:t xml:space="preserve"> from </w:t>
      </w:r>
      <w:r w:rsidRPr="00DC1159">
        <w:rPr>
          <w:color w:val="000000"/>
          <w:sz w:val="20"/>
          <w:szCs w:val="20"/>
          <w:highlight w:val="yellow"/>
        </w:rPr>
        <w:t>9%</w:t>
      </w:r>
      <w:r>
        <w:rPr>
          <w:color w:val="000000"/>
          <w:sz w:val="20"/>
          <w:szCs w:val="20"/>
        </w:rPr>
        <w:t xml:space="preserve"> to </w:t>
      </w:r>
      <w:r w:rsidRPr="00DC1159">
        <w:rPr>
          <w:color w:val="000000"/>
          <w:sz w:val="20"/>
          <w:szCs w:val="20"/>
          <w:highlight w:val="yellow"/>
        </w:rPr>
        <w:t>10%</w:t>
      </w:r>
      <w:r>
        <w:rPr>
          <w:color w:val="000000"/>
          <w:sz w:val="20"/>
          <w:szCs w:val="20"/>
        </w:rPr>
        <w:t xml:space="preserve"> in the six months ended June 30, 2023 as compared to the three and six months ended June 30, 2022, respectively, primarily due to </w:t>
      </w:r>
      <w:r w:rsidRPr="00DC1159">
        <w:rPr>
          <w:color w:val="000000"/>
          <w:sz w:val="20"/>
          <w:szCs w:val="20"/>
          <w:highlight w:val="green"/>
        </w:rPr>
        <w:t>changes in mix of jurisdictional earnings</w:t>
      </w:r>
      <w:r>
        <w:rPr>
          <w:color w:val="000000"/>
          <w:sz w:val="20"/>
          <w:szCs w:val="20"/>
        </w:rPr>
        <w:t>.</w:t>
      </w:r>
    </w:p>
    <w:p w14:paraId="154638BE" w14:textId="77777777" w:rsidR="00B65292" w:rsidRDefault="00B65292" w:rsidP="00B65292">
      <w:pPr>
        <w:pStyle w:val="NormalWeb"/>
        <w:shd w:val="clear" w:color="auto" w:fill="FFFFFF"/>
        <w:spacing w:before="180" w:beforeAutospacing="0" w:after="0" w:afterAutospacing="0"/>
        <w:ind w:firstLine="555"/>
        <w:rPr>
          <w:color w:val="212529"/>
          <w:sz w:val="20"/>
          <w:szCs w:val="20"/>
        </w:rPr>
      </w:pPr>
      <w:r>
        <w:rPr>
          <w:color w:val="000000"/>
          <w:sz w:val="20"/>
          <w:szCs w:val="20"/>
        </w:rPr>
        <w:t xml:space="preserve">See Note 1, </w:t>
      </w:r>
      <w:r>
        <w:rPr>
          <w:i/>
          <w:iCs/>
          <w:color w:val="000000"/>
          <w:sz w:val="20"/>
          <w:szCs w:val="20"/>
        </w:rPr>
        <w:t>Summary of Significant Accounting Policies</w:t>
      </w:r>
      <w:r>
        <w:rPr>
          <w:color w:val="000000"/>
          <w:sz w:val="20"/>
          <w:szCs w:val="20"/>
        </w:rPr>
        <w:t>, to the consolidated financial statements included elsewhere in this Quarterly Report on Form 10-Q for further details.</w:t>
      </w:r>
    </w:p>
    <w:p w14:paraId="50CD956D" w14:textId="77777777" w:rsidR="00B65292" w:rsidRPr="00B65292" w:rsidRDefault="00B65292">
      <w:pPr>
        <w:rPr>
          <w:rFonts w:ascii="Times New Roman" w:hAnsi="Times New Roman" w:cs="Times New Roman"/>
        </w:rPr>
      </w:pPr>
    </w:p>
    <w:sectPr w:rsidR="00B65292" w:rsidRPr="00B6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92"/>
    <w:rsid w:val="00B65292"/>
    <w:rsid w:val="00DC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B8D4E"/>
  <w15:chartTrackingRefBased/>
  <w15:docId w15:val="{FB9AE169-7BB4-D943-B9BC-D93E6A5F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2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2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29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65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Liu</dc:creator>
  <cp:keywords/>
  <dc:description/>
  <cp:lastModifiedBy>Yuan Liu</cp:lastModifiedBy>
  <cp:revision>2</cp:revision>
  <dcterms:created xsi:type="dcterms:W3CDTF">2024-09-08T15:32:00Z</dcterms:created>
  <dcterms:modified xsi:type="dcterms:W3CDTF">2024-09-08T15:37:00Z</dcterms:modified>
</cp:coreProperties>
</file>