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276" w:before="57" w:after="57"/>
        <w:jc w:val="center"/>
        <w:rPr>
          <w:rFonts w:ascii="Liberation Serif" w:hAnsi="Liberation Serif" w:eastAsia="Noto Sans" w:cs="Noto Sans"/>
          <w:b/>
          <w:b/>
          <w:bCs/>
          <w:color w:val="auto"/>
          <w:kern w:val="2"/>
          <w:sz w:val="24"/>
          <w:szCs w:val="24"/>
          <w:lang w:val="en-US" w:eastAsia="zh-CN" w:bidi="hi-IN"/>
        </w:rPr>
      </w:pPr>
      <w:r>
        <w:rPr>
          <w:rFonts w:eastAsia="Noto Sans" w:cs="Noto Sans"/>
          <w:b/>
          <w:bCs/>
          <w:color w:val="auto"/>
          <w:kern w:val="2"/>
          <w:sz w:val="24"/>
          <w:szCs w:val="24"/>
          <w:lang w:val="en-US" w:eastAsia="zh-CN" w:bidi="hi-IN"/>
        </w:rPr>
        <w:t>OpenTable Footprint Report</w:t>
      </w:r>
    </w:p>
    <w:p>
      <w:pPr>
        <w:pStyle w:val="Normal"/>
        <w:bidi w:val="0"/>
        <w:spacing w:lineRule="auto" w:line="276" w:before="57" w:after="57"/>
        <w:jc w:val="center"/>
        <w:rPr>
          <w:b/>
          <w:b/>
          <w:bCs/>
        </w:rPr>
      </w:pPr>
      <w:r>
        <w:rPr>
          <w:b/>
          <w:bCs/>
        </w:rPr>
      </w:r>
    </w:p>
    <w:p>
      <w:pPr>
        <w:pStyle w:val="Normal"/>
        <w:bidi w:val="0"/>
        <w:spacing w:lineRule="auto" w:line="276" w:before="57" w:after="57"/>
        <w:jc w:val="center"/>
        <w:rPr>
          <w:b w:val="false"/>
          <w:b w:val="false"/>
          <w:bCs w:val="false"/>
        </w:rPr>
      </w:pPr>
      <w:r>
        <w:rPr>
          <w:b w:val="false"/>
          <w:bCs w:val="false"/>
        </w:rPr>
        <w:t>Dustin McClure</w:t>
      </w:r>
    </w:p>
    <w:p>
      <w:pPr>
        <w:pStyle w:val="Normal"/>
        <w:bidi w:val="0"/>
        <w:spacing w:lineRule="auto" w:line="276" w:before="57" w:after="57"/>
        <w:jc w:val="center"/>
        <w:rPr>
          <w:b w:val="false"/>
          <w:b w:val="false"/>
          <w:bCs w:val="false"/>
        </w:rPr>
      </w:pPr>
      <w:r>
        <w:rPr>
          <w:b w:val="false"/>
          <w:bCs w:val="false"/>
        </w:rPr>
        <w:t>Whatcom Community College</w:t>
      </w:r>
    </w:p>
    <w:p>
      <w:pPr>
        <w:pStyle w:val="Normal"/>
        <w:bidi w:val="0"/>
        <w:spacing w:lineRule="auto" w:line="276" w:before="57" w:after="57"/>
        <w:jc w:val="center"/>
        <w:rPr>
          <w:b w:val="false"/>
          <w:b w:val="false"/>
          <w:bCs w:val="false"/>
        </w:rPr>
      </w:pPr>
      <w:r>
        <w:rPr>
          <w:b w:val="false"/>
          <w:bCs w:val="false"/>
        </w:rPr>
        <w:t>CIS 214: Footprinting Report</w:t>
      </w:r>
    </w:p>
    <w:p>
      <w:pPr>
        <w:pStyle w:val="Normal"/>
        <w:bidi w:val="0"/>
        <w:spacing w:lineRule="auto" w:line="276" w:before="57" w:after="57"/>
        <w:jc w:val="center"/>
        <w:rPr>
          <w:b w:val="false"/>
          <w:b w:val="false"/>
          <w:bCs w:val="false"/>
        </w:rPr>
      </w:pPr>
      <w:r>
        <w:rPr>
          <w:b w:val="false"/>
          <w:bCs w:val="false"/>
        </w:rPr>
        <w:t>January 21, 2022</w:t>
      </w:r>
      <w:r>
        <w:br w:type="page"/>
      </w:r>
    </w:p>
    <w:p>
      <w:pPr>
        <w:pStyle w:val="Normal"/>
        <w:bidi w:val="0"/>
        <w:spacing w:lineRule="auto" w:line="276" w:before="57" w:after="57"/>
        <w:jc w:val="center"/>
        <w:rPr>
          <w:rFonts w:ascii="Liberation Serif" w:hAnsi="Liberation Serif" w:eastAsia="Noto Sans" w:cs="Noto Sans"/>
          <w:b/>
          <w:b/>
          <w:bCs/>
          <w:color w:val="auto"/>
          <w:kern w:val="2"/>
          <w:sz w:val="24"/>
          <w:szCs w:val="24"/>
          <w:lang w:val="en-US" w:eastAsia="zh-CN" w:bidi="hi-IN"/>
        </w:rPr>
      </w:pPr>
      <w:r>
        <w:rPr>
          <w:rFonts w:eastAsia="Noto Sans" w:cs="Noto Sans"/>
          <w:b/>
          <w:bCs/>
          <w:color w:val="auto"/>
          <w:kern w:val="2"/>
          <w:sz w:val="24"/>
          <w:szCs w:val="24"/>
          <w:lang w:val="en-US" w:eastAsia="zh-CN" w:bidi="hi-IN"/>
        </w:rPr>
        <w:t>OpenTable Footprint Report</w:t>
      </w:r>
    </w:p>
    <w:p>
      <w:pPr>
        <w:pStyle w:val="Normal"/>
        <w:bidi w:val="0"/>
        <w:spacing w:lineRule="auto" w:line="480" w:before="57" w:after="57"/>
        <w:jc w:val="left"/>
        <w:rPr/>
      </w:pPr>
      <w:r>
        <w:rPr/>
        <w:tab/>
      </w:r>
      <w:r>
        <w:rPr/>
        <w:t xml:space="preserve">In this report, we will examine the findings of a footprint conducted on the domain opentable.com </w:t>
      </w:r>
      <w:r>
        <w:rPr/>
        <w:t>to assess it’s vulnerability to an attack</w:t>
      </w:r>
      <w:r>
        <w:rPr/>
        <w:t xml:space="preserve">. </w:t>
      </w:r>
      <w:r>
        <w:rPr>
          <w:rFonts w:eastAsia="Noto Sans" w:cs="Noto Sans"/>
          <w:color w:val="auto"/>
          <w:kern w:val="2"/>
          <w:sz w:val="24"/>
          <w:szCs w:val="24"/>
          <w:lang w:val="en-US" w:eastAsia="zh-CN" w:bidi="hi-IN"/>
        </w:rPr>
        <w:t xml:space="preserve">Included </w:t>
      </w:r>
      <w:r>
        <w:rPr/>
        <w:t xml:space="preserve">information encompasses multiple physical locations, executive and technical contacts, </w:t>
      </w:r>
      <w:r>
        <w:rPr/>
        <w:t xml:space="preserve">and </w:t>
      </w:r>
      <w:r>
        <w:rPr/>
        <w:t xml:space="preserve">technological infrastructure. </w:t>
      </w:r>
      <w:r>
        <w:rPr/>
        <w:t xml:space="preserve">This information </w:t>
      </w:r>
      <w:r>
        <w:rPr/>
        <w:t xml:space="preserve">is included as an attachment and </w:t>
      </w:r>
      <w:r>
        <w:rPr/>
        <w:t xml:space="preserve">was obtained using a variety of passive, open-source intelligence </w:t>
      </w:r>
      <w:r>
        <w:rPr>
          <w:rFonts w:eastAsia="Noto Sans" w:cs="Noto Sans"/>
          <w:color w:val="auto"/>
          <w:kern w:val="2"/>
          <w:sz w:val="24"/>
          <w:szCs w:val="24"/>
          <w:lang w:val="en-US" w:eastAsia="zh-CN" w:bidi="hi-IN"/>
        </w:rPr>
        <w:t>and network query tools.</w:t>
      </w:r>
    </w:p>
    <w:p>
      <w:pPr>
        <w:pStyle w:val="Normal"/>
        <w:bidi w:val="0"/>
        <w:spacing w:lineRule="auto" w:line="480" w:before="57" w:after="57"/>
        <w:jc w:val="left"/>
        <w:rPr/>
      </w:pPr>
      <w:r>
        <w:rPr>
          <w:rFonts w:eastAsia="Noto Sans" w:cs="Noto Sans"/>
          <w:color w:val="auto"/>
          <w:kern w:val="2"/>
          <w:sz w:val="24"/>
          <w:szCs w:val="24"/>
          <w:lang w:val="en-US" w:eastAsia="zh-CN" w:bidi="hi-IN"/>
        </w:rPr>
        <w:tab/>
        <w:t>The initial point of focus for this footprint was publicly available contact information for executive and technical contacts. In a cursory search we were able to locate direct contact information for multiple department directors and multiple C-Suite personnel. This information included office locations, names, company email addresses, and in some cases direct personal and business lines.</w:t>
      </w:r>
    </w:p>
    <w:p>
      <w:pPr>
        <w:pStyle w:val="Normal"/>
        <w:bidi w:val="0"/>
        <w:spacing w:lineRule="auto" w:line="480" w:before="57" w:after="57"/>
        <w:jc w:val="left"/>
        <w:rPr/>
      </w:pPr>
      <w:r>
        <w:rPr>
          <w:rFonts w:eastAsia="Noto Sans" w:cs="Noto Sans"/>
          <w:color w:val="auto"/>
          <w:kern w:val="2"/>
          <w:sz w:val="24"/>
          <w:szCs w:val="24"/>
          <w:lang w:val="en-US" w:eastAsia="zh-CN" w:bidi="hi-IN"/>
        </w:rPr>
        <w:tab/>
        <w:t xml:space="preserve">After searching for publicly available contact information, we moved on to a footprint of OpenTable’s technological infrastructure, including: </w:t>
      </w:r>
      <w:r>
        <w:rPr>
          <w:rFonts w:eastAsia="Noto Sans" w:cs="Noto Sans"/>
          <w:color w:val="auto"/>
          <w:kern w:val="2"/>
          <w:sz w:val="24"/>
          <w:szCs w:val="24"/>
          <w:lang w:val="en-US" w:eastAsia="zh-CN" w:bidi="hi-IN"/>
        </w:rPr>
        <w:t>domain registration information, name server enumeration, assigned ip range</w:t>
      </w:r>
      <w:r>
        <w:rPr>
          <w:rFonts w:eastAsia="Noto Sans" w:cs="Noto Sans"/>
          <w:color w:val="auto"/>
          <w:kern w:val="2"/>
          <w:sz w:val="24"/>
          <w:szCs w:val="24"/>
          <w:lang w:val="en-US" w:eastAsia="zh-CN" w:bidi="hi-IN"/>
        </w:rPr>
        <w:t>s</w:t>
      </w:r>
      <w:r>
        <w:rPr>
          <w:rFonts w:eastAsia="Noto Sans" w:cs="Noto Sans"/>
          <w:color w:val="auto"/>
          <w:kern w:val="2"/>
          <w:sz w:val="24"/>
          <w:szCs w:val="24"/>
          <w:lang w:val="en-US" w:eastAsia="zh-CN" w:bidi="hi-IN"/>
        </w:rPr>
        <w:t>, exploration of sub-domains and their associated ip addresses, and services, frameworks, and applications in use.</w:t>
      </w:r>
    </w:p>
    <w:p>
      <w:pPr>
        <w:pStyle w:val="Normal"/>
        <w:bidi w:val="0"/>
        <w:spacing w:lineRule="auto" w:line="480" w:before="57" w:after="57"/>
        <w:jc w:val="left"/>
        <w:rPr/>
      </w:pPr>
      <w:r>
        <w:rPr>
          <w:rFonts w:eastAsia="Noto Sans" w:cs="Noto Sans"/>
          <w:color w:val="auto"/>
          <w:kern w:val="2"/>
          <w:sz w:val="24"/>
          <w:szCs w:val="24"/>
          <w:lang w:val="en-US" w:eastAsia="zh-CN" w:bidi="hi-IN"/>
        </w:rPr>
        <w:tab/>
        <w:t xml:space="preserve">In our search for information about OpenTable’s technological infrastructure, we were able to find multiple current job postings that were tagged by location and provided detailed descriptions of the programming languages, applications, and frameworks required for each opening, sometimes even noting the version of software an applicant should be proficient </w:t>
      </w:r>
      <w:r>
        <w:rPr>
          <w:rFonts w:eastAsia="Noto Sans" w:cs="Noto Sans"/>
          <w:color w:val="auto"/>
          <w:kern w:val="2"/>
          <w:sz w:val="24"/>
          <w:szCs w:val="24"/>
          <w:lang w:val="en-US" w:eastAsia="zh-CN" w:bidi="hi-IN"/>
        </w:rPr>
        <w:t>in.</w:t>
      </w:r>
      <w:r>
        <w:rPr>
          <w:rFonts w:eastAsia="Noto Sans" w:cs="Noto Sans"/>
          <w:color w:val="auto"/>
          <w:kern w:val="2"/>
          <w:sz w:val="24"/>
          <w:szCs w:val="24"/>
          <w:lang w:val="en-US" w:eastAsia="zh-CN" w:bidi="hi-IN"/>
        </w:rPr>
        <w:t xml:space="preserve"> </w:t>
      </w:r>
      <w:r>
        <w:rPr>
          <w:rFonts w:eastAsia="Noto Sans" w:cs="Noto Sans"/>
          <w:color w:val="auto"/>
          <w:kern w:val="2"/>
          <w:sz w:val="24"/>
          <w:szCs w:val="24"/>
          <w:lang w:val="en-US" w:eastAsia="zh-CN" w:bidi="hi-IN"/>
        </w:rPr>
        <w:t>Given that each job posting is location specific, and in some cases domain specific, this level of detail could allow a potential threat actor to create a detailed inventory of services to scan/probe by assigned ip range and port number.</w:t>
      </w:r>
    </w:p>
    <w:p>
      <w:pPr>
        <w:pStyle w:val="Normal"/>
        <w:bidi w:val="0"/>
        <w:spacing w:lineRule="auto" w:line="480" w:before="57" w:after="57"/>
        <w:jc w:val="left"/>
        <w:rPr/>
      </w:pPr>
      <w:r>
        <w:rPr>
          <w:rFonts w:eastAsia="Noto Sans" w:cs="Noto Sans"/>
          <w:color w:val="auto"/>
          <w:kern w:val="2"/>
          <w:sz w:val="24"/>
          <w:szCs w:val="24"/>
          <w:lang w:val="en-US" w:eastAsia="zh-CN" w:bidi="hi-IN"/>
        </w:rPr>
        <w:tab/>
      </w:r>
    </w:p>
    <w:p>
      <w:pPr>
        <w:pStyle w:val="Normal"/>
        <w:bidi w:val="0"/>
        <w:spacing w:lineRule="auto" w:line="480" w:before="57" w:after="57"/>
        <w:jc w:val="left"/>
        <w:rPr/>
      </w:pPr>
      <w:r>
        <w:rPr>
          <w:rFonts w:eastAsia="Noto Sans" w:cs="Noto Sans"/>
          <w:color w:val="auto"/>
          <w:kern w:val="2"/>
          <w:sz w:val="24"/>
          <w:szCs w:val="24"/>
          <w:lang w:val="en-US" w:eastAsia="zh-CN" w:bidi="hi-IN"/>
        </w:rPr>
        <w:tab/>
      </w:r>
    </w:p>
    <w:p>
      <w:pPr>
        <w:pStyle w:val="Normal"/>
        <w:bidi w:val="0"/>
        <w:spacing w:lineRule="auto" w:line="480" w:before="57" w:after="57"/>
        <w:jc w:val="left"/>
        <w:rPr>
          <w:rFonts w:ascii="Liberation Serif" w:hAnsi="Liberation Serif" w:eastAsia="Noto Sans" w:cs="Noto Sans"/>
          <w:color w:val="auto"/>
          <w:kern w:val="2"/>
          <w:sz w:val="24"/>
          <w:szCs w:val="24"/>
          <w:lang w:val="en-US" w:eastAsia="zh-CN" w:bidi="hi-IN"/>
        </w:rPr>
      </w:pPr>
      <w:r>
        <w:rPr/>
      </w:r>
    </w:p>
    <w:p>
      <w:pPr>
        <w:pStyle w:val="Normal"/>
        <w:bidi w:val="0"/>
        <w:spacing w:lineRule="auto" w:line="480" w:before="57" w:after="57"/>
        <w:jc w:val="left"/>
        <w:rPr/>
      </w:pPr>
      <w:r>
        <w:rPr>
          <w:rFonts w:eastAsia="Noto Sans" w:cs="Noto Sans"/>
          <w:color w:val="auto"/>
          <w:kern w:val="2"/>
          <w:sz w:val="24"/>
          <w:szCs w:val="24"/>
          <w:lang w:val="en-US" w:eastAsia="zh-CN" w:bidi="hi-IN"/>
        </w:rPr>
        <w:tab/>
      </w:r>
      <w:r>
        <w:rPr>
          <w:rFonts w:eastAsia="Noto Sans" w:cs="Noto Sans"/>
          <w:color w:val="auto"/>
          <w:kern w:val="2"/>
          <w:sz w:val="24"/>
          <w:szCs w:val="24"/>
          <w:lang w:val="en-US" w:eastAsia="zh-CN" w:bidi="hi-IN"/>
        </w:rPr>
        <w:t xml:space="preserve">Furthermore, </w:t>
      </w:r>
      <w:r>
        <w:rPr>
          <w:rFonts w:eastAsia="Noto Sans" w:cs="Noto Sans"/>
          <w:color w:val="auto"/>
          <w:kern w:val="2"/>
          <w:sz w:val="24"/>
          <w:szCs w:val="24"/>
          <w:lang w:val="en-US" w:eastAsia="zh-CN" w:bidi="hi-IN"/>
        </w:rPr>
        <w:t xml:space="preserve">in conjunction with information uncovered in our technological footprint, the public availability of contact information for key technical and C-Suite employees at OpenTable may allow threat actors to establish what seems a plausible line of communication with those that have direct access to some of the most sensitive resources in the organization. </w:t>
      </w:r>
    </w:p>
    <w:p>
      <w:pPr>
        <w:pStyle w:val="Normal"/>
        <w:bidi w:val="0"/>
        <w:spacing w:lineRule="auto" w:line="480" w:before="57" w:after="57"/>
        <w:jc w:val="left"/>
        <w:rPr/>
      </w:pPr>
      <w:r>
        <w:rPr>
          <w:rFonts w:eastAsia="Noto Sans" w:cs="Noto Sans"/>
          <w:color w:val="auto"/>
          <w:kern w:val="2"/>
          <w:sz w:val="24"/>
          <w:szCs w:val="24"/>
          <w:lang w:val="en-US" w:eastAsia="zh-CN" w:bidi="hi-IN"/>
        </w:rPr>
        <w:tab/>
      </w:r>
      <w:r>
        <w:rPr>
          <w:rFonts w:eastAsia="Noto Sans" w:cs="Noto Sans"/>
          <w:color w:val="auto"/>
          <w:kern w:val="2"/>
          <w:sz w:val="24"/>
          <w:szCs w:val="24"/>
          <w:lang w:val="en-US" w:eastAsia="zh-CN" w:bidi="hi-IN"/>
        </w:rPr>
        <w:t xml:space="preserve">When considering the type of information that an attacker would have at their fingertips to formulate a successful social engineering attack, it is important to look at what was uncovered when searching for DNS Host Records (subdomains of opentable.com). These included domain records and associated ip addresses for staging and pre-production environments, mail servers, ftp servers, proxies, and </w:t>
      </w:r>
      <w:r>
        <w:rPr>
          <w:rFonts w:eastAsia="Noto Sans" w:cs="Noto Sans"/>
          <w:color w:val="auto"/>
          <w:kern w:val="2"/>
          <w:sz w:val="24"/>
          <w:szCs w:val="24"/>
          <w:lang w:val="en-US" w:eastAsia="zh-CN" w:bidi="hi-IN"/>
        </w:rPr>
        <w:t xml:space="preserve">employee self-service tools. Armed with this information, </w:t>
      </w:r>
      <w:r>
        <w:rPr>
          <w:rFonts w:eastAsia="Noto Sans" w:cs="Noto Sans"/>
          <w:color w:val="auto"/>
          <w:kern w:val="2"/>
          <w:sz w:val="24"/>
          <w:szCs w:val="24"/>
          <w:lang w:val="en-US" w:eastAsia="zh-CN" w:bidi="hi-IN"/>
        </w:rPr>
        <w:t xml:space="preserve">an attacker could communicate in a convincing way about what they need access to </w:t>
      </w:r>
      <w:r>
        <w:rPr>
          <w:rFonts w:eastAsia="Noto Sans" w:cs="Noto Sans"/>
          <w:color w:val="auto"/>
          <w:kern w:val="2"/>
          <w:sz w:val="24"/>
          <w:szCs w:val="24"/>
          <w:lang w:val="en-US" w:eastAsia="zh-CN" w:bidi="hi-IN"/>
        </w:rPr>
        <w:t>and why.</w:t>
      </w:r>
    </w:p>
    <w:p>
      <w:pPr>
        <w:pStyle w:val="Normal"/>
        <w:bidi w:val="0"/>
        <w:spacing w:lineRule="auto" w:line="480" w:before="57" w:after="57"/>
        <w:jc w:val="left"/>
        <w:rPr/>
      </w:pPr>
      <w:r>
        <w:rPr>
          <w:rFonts w:eastAsia="Noto Sans" w:cs="Noto Sans"/>
          <w:color w:val="auto"/>
          <w:kern w:val="2"/>
          <w:sz w:val="24"/>
          <w:szCs w:val="24"/>
          <w:lang w:val="en-US" w:eastAsia="zh-CN" w:bidi="hi-IN"/>
        </w:rPr>
        <w:tab/>
        <w:t xml:space="preserve">Below is a list of recommended counter-measures to combat social engineering techniques </w:t>
      </w:r>
      <w:r>
        <w:rPr>
          <w:rFonts w:eastAsia="Noto Sans" w:cs="Noto Sans"/>
          <w:color w:val="auto"/>
          <w:kern w:val="2"/>
          <w:sz w:val="24"/>
          <w:szCs w:val="24"/>
          <w:lang w:val="en-US" w:eastAsia="zh-CN" w:bidi="hi-IN"/>
        </w:rPr>
        <w:t>and footprinting</w:t>
      </w:r>
      <w:r>
        <w:rPr>
          <w:rFonts w:eastAsia="Noto Sans" w:cs="Noto Sans"/>
          <w:color w:val="auto"/>
          <w:kern w:val="2"/>
          <w:sz w:val="24"/>
          <w:szCs w:val="24"/>
          <w:lang w:val="en-US" w:eastAsia="zh-CN" w:bidi="hi-IN"/>
        </w:rPr>
        <w:t>:</w:t>
      </w:r>
    </w:p>
    <w:p>
      <w:pPr>
        <w:pStyle w:val="Normal"/>
        <w:numPr>
          <w:ilvl w:val="0"/>
          <w:numId w:val="1"/>
        </w:numPr>
        <w:bidi w:val="0"/>
        <w:spacing w:lineRule="auto" w:line="480" w:before="57" w:after="57"/>
        <w:jc w:val="left"/>
        <w:rPr/>
      </w:pPr>
      <w:r>
        <w:rPr>
          <w:rFonts w:eastAsia="Noto Sans" w:cs="Noto Sans"/>
          <w:color w:val="auto"/>
          <w:kern w:val="2"/>
          <w:sz w:val="24"/>
          <w:szCs w:val="24"/>
          <w:lang w:val="en-US" w:eastAsia="zh-CN" w:bidi="hi-IN"/>
        </w:rPr>
        <w:t>Sanitize publicly available contact information for technical contacts and C-Suite employees.</w:t>
      </w:r>
    </w:p>
    <w:p>
      <w:pPr>
        <w:pStyle w:val="Normal"/>
        <w:numPr>
          <w:ilvl w:val="0"/>
          <w:numId w:val="1"/>
        </w:numPr>
        <w:bidi w:val="0"/>
        <w:spacing w:lineRule="auto" w:line="480" w:before="57" w:after="57"/>
        <w:jc w:val="left"/>
        <w:rPr/>
      </w:pPr>
      <w:r>
        <w:rPr>
          <w:rFonts w:eastAsia="Noto Sans" w:cs="Noto Sans"/>
          <w:color w:val="auto"/>
          <w:kern w:val="2"/>
          <w:sz w:val="24"/>
          <w:szCs w:val="24"/>
          <w:lang w:val="en-US" w:eastAsia="zh-CN" w:bidi="hi-IN"/>
        </w:rPr>
        <w:t>Centralize contact with the company based on need, and implement a chain of escalation so that incoming queries or requests are properly vetted as they move up.</w:t>
      </w:r>
    </w:p>
    <w:p>
      <w:pPr>
        <w:pStyle w:val="Normal"/>
        <w:numPr>
          <w:ilvl w:val="0"/>
          <w:numId w:val="1"/>
        </w:numPr>
        <w:bidi w:val="0"/>
        <w:spacing w:lineRule="auto" w:line="480" w:before="57" w:after="57"/>
        <w:jc w:val="left"/>
        <w:rPr/>
      </w:pPr>
      <w:r>
        <w:rPr>
          <w:rFonts w:eastAsia="Noto Sans" w:cs="Noto Sans"/>
          <w:color w:val="auto"/>
          <w:kern w:val="2"/>
          <w:sz w:val="24"/>
          <w:szCs w:val="24"/>
          <w:lang w:val="en-US" w:eastAsia="zh-CN" w:bidi="hi-IN"/>
        </w:rPr>
        <w:t>Implement a review process for public job postings to ensure sensitive information about infrastructure is guarded</w:t>
      </w:r>
    </w:p>
    <w:p>
      <w:pPr>
        <w:pStyle w:val="Normal"/>
        <w:numPr>
          <w:ilvl w:val="0"/>
          <w:numId w:val="1"/>
        </w:numPr>
        <w:bidi w:val="0"/>
        <w:spacing w:lineRule="auto" w:line="480" w:before="57" w:after="57"/>
        <w:jc w:val="left"/>
        <w:rPr>
          <w:rFonts w:ascii="Liberation Serif" w:hAnsi="Liberation Serif" w:eastAsia="Noto Sans" w:cs="Noto Sans"/>
          <w:color w:val="auto"/>
          <w:kern w:val="2"/>
          <w:sz w:val="24"/>
          <w:szCs w:val="24"/>
          <w:lang w:val="en-US" w:eastAsia="zh-CN" w:bidi="hi-IN"/>
        </w:rPr>
      </w:pPr>
      <w:r>
        <w:rPr>
          <w:rFonts w:eastAsia="Noto Sans" w:cs="Noto Sans"/>
          <w:color w:val="auto"/>
          <w:kern w:val="2"/>
          <w:sz w:val="24"/>
          <w:szCs w:val="24"/>
          <w:lang w:val="en-US" w:eastAsia="zh-CN" w:bidi="hi-IN"/>
        </w:rPr>
        <w:t>Restructure internal and external subdomains to limit public exposure</w:t>
      </w:r>
    </w:p>
    <w:p>
      <w:pPr>
        <w:pStyle w:val="Normal"/>
        <w:bidi w:val="0"/>
        <w:spacing w:lineRule="auto" w:line="480" w:before="57" w:after="57"/>
        <w:jc w:val="left"/>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tab/>
      <w:tab/>
    </w: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LibreOffice/7.0.4.2$Linux_X86_64 LibreOffice_project/00$Build-2</Application>
  <AppVersion>15.0000</AppVersion>
  <Pages>3</Pages>
  <Words>480</Words>
  <Characters>2868</Characters>
  <CharactersWithSpaces>3338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2022-01-21T22:36:15Z</dcterms:created>
  <dc:creator/>
  <dc:description/>
  <dc:language>en-US</dc:language>
  <cp:lastModifiedBy/>
  <dcterms:modified xsi:type="dcterms:W3CDTF">2022-01-22T22:32:02Z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