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收益归因报告（优化方案 v1.0 阶段 A，constitution_006 / 2026-10-01）</w:t>
      </w:r>
    </w:p>
    <w:p>
      <w:r>
        <w:t>全部数字由 `quant_agent/research/attribution.py` 从实际运行产物计算</w:t>
      </w:r>
    </w:p>
    <w:p>
      <w:r>
        <w:t>（基线经 run_window 全量重跑，快照 v5 `fe312f298f159972`，费用</w:t>
      </w:r>
    </w:p>
    <w:p>
      <w:r>
        <w:t>买0.20‰/卖0.25‰+最低5元，本金 100 万元研究情景）。明细见同目录 CSV。</w:t>
      </w:r>
    </w:p>
    <w:p>
      <w:pPr>
        <w:pStyle w:val="Heading1"/>
      </w:pPr>
      <w:r>
        <w:t>0. 窗口核验（方案最小可信性验收第 1 项）</w:t>
      </w:r>
    </w:p>
    <w:p>
      <w:pPr>
        <w:pStyle w:val="ListBullet"/>
      </w:pPr>
      <w:r>
        <w:t>IS: 2023-09-08 ~ 2025-06-30；DEV: 2025-07-01 ~ 2025-12-31，**无重叠**（程序断言）。</w:t>
      </w:r>
    </w:p>
    <w:p>
      <w:pPr>
        <w:pStyle w:val="ListBullet"/>
      </w:pPr>
      <w:r>
        <w:t>窗口末强平、现金/未平仓对账：S8d 已覆盖（含未平仓批次）；本报告账户状态取自同一代码路径。</w:t>
      </w:r>
    </w:p>
    <w:p>
      <w:pPr>
        <w:pStyle w:val="Heading1"/>
      </w:pPr>
      <w:r>
        <w:t>1. 行情贡献 vs 主动增量（回答 IS -3.3% 与 DEV +140.2% 的差异）</w:t>
      </w:r>
    </w:p>
    <w:p>
      <w:pPr>
        <w:pStyle w:val="IntenseQuote"/>
      </w:pPr>
      <w:r>
        <w:t>| 窗口 | 基线年化 | 同池等权月调仓基准 | 主动增量(年化) | 基线回撤 | 基准回撤 |</w:t>
      </w:r>
    </w:p>
    <w:p>
      <w:pPr>
        <w:pStyle w:val="IntenseQuote"/>
      </w:pPr>
      <w:r>
        <w:t>|---|---|---|---|---|---|</w:t>
      </w:r>
    </w:p>
    <w:p>
      <w:pPr>
        <w:pStyle w:val="IntenseQuote"/>
      </w:pPr>
      <w:r>
        <w:t>| IS | -3.3% | +25.9% 累计 / +13.8% 年化 | **-17.2pp** | -19.7% | -38.4% |</w:t>
      </w:r>
    </w:p>
    <w:p>
      <w:pPr>
        <w:pStyle w:val="IntenseQuote"/>
      </w:pPr>
      <w:r>
        <w:t>| DEV | +140.2% | +14.9% 累计 / +30.8% 年化 | **+109.4pp** | -9.6% | -7.0% |</w:t>
      </w:r>
    </w:p>
    <w:p>
      <w:r>
        <w:t>基准口径：同一 189 只候选面板、宇宙矩阵 point-in-time 资格、月度首个</w:t>
      </w:r>
    </w:p>
    <w:p>
      <w:r>
        <w:t>交易日开盘等权调仓、同款费用模型、整手、现金约束（研究情景，非行业指数）。</w:t>
      </w:r>
    </w:p>
    <w:p>
      <w:r>
        <w:t>判读：</w:t>
      </w:r>
    </w:p>
    <w:p>
      <w:pPr>
        <w:pStyle w:val="ListBullet"/>
      </w:pPr>
      <w:r>
        <w:t>**IS 亏损不是行情问题**：候选池在 IS 上涨 +25.9%，基线反而 -3.3%——</w:t>
      </w:r>
    </w:p>
    <w:p>
      <w:r>
        <w:t xml:space="preserve">  主动选择在该窗口为负贡献。月度分解显示 IS 18 个月中 12 个月为负，</w:t>
      </w:r>
    </w:p>
    <w:p>
      <w:r>
        <w:t xml:space="preserve">  亏损分散（单月 -1 万~-11.6 万），无单一事件可归咎。</w:t>
      </w:r>
    </w:p>
    <w:p>
      <w:pPr>
        <w:pStyle w:val="ListBullet"/>
      </w:pPr>
      <w:r>
        <w:t>**DEV 高年化含行情放大但主动增量真实**：池基准半年 +14.9%，基线</w:t>
      </w:r>
    </w:p>
    <w:p>
      <w:r>
        <w:t xml:space="preserve">  +55.0%；然而利润时间高度集中——2025-07 (+18.8万) 与 2025-08</w:t>
      </w:r>
    </w:p>
    <w:p>
      <w:r>
        <w:t xml:space="preserve">  (+30.5万) 两月合计占 DEV 总利润约 90%，9-12 月合计约 -1.2 万。</w:t>
      </w:r>
    </w:p>
    <w:p>
      <w:r>
        <w:t xml:space="preserve">  即 DEV 的 Sharpe 3.16 主要由一轮行情的两个月份贡献，外推性弱。</w:t>
      </w:r>
    </w:p>
    <w:p>
      <w:pPr>
        <w:pStyle w:val="ListBullet"/>
      </w:pPr>
      <w:r>
        <w:t>集中度：DEV 利润 37% 来自单票 688110.SH（4 笔 time 退出）；</w:t>
      </w:r>
    </w:p>
    <w:p>
      <w:r>
        <w:t xml:space="preserve">  前十大交易（全部为固定期限退出）约占 DEV 总利润 60%。</w:t>
      </w:r>
    </w:p>
    <w:p>
      <w:pPr>
        <w:pStyle w:val="Heading1"/>
      </w:pPr>
      <w:r>
        <w:t>2. 退出规则归因（H3 方向的前置证据）</w:t>
      </w:r>
    </w:p>
    <w:p>
      <w:r>
        <w:t>按退出原因的实现盈亏（全部交易逐笔汇总）：</w:t>
      </w:r>
    </w:p>
    <w:p>
      <w:pPr>
        <w:pStyle w:val="IntenseQuote"/>
      </w:pPr>
      <w:r>
        <w:t>| 窗口 | time 退出 | keltner 退出 |</w:t>
      </w:r>
    </w:p>
    <w:p>
      <w:pPr>
        <w:pStyle w:val="IntenseQuote"/>
      </w:pPr>
      <w:r>
        <w:t>|---|---|---|</w:t>
      </w:r>
    </w:p>
    <w:p>
      <w:pPr>
        <w:pStyle w:val="IntenseQuote"/>
      </w:pPr>
      <w:r>
        <w:t>| IS | +255,707 元 / 228 笔 | **-309,998 元 / 54 笔**（均 -5,740/笔） |</w:t>
      </w:r>
    </w:p>
    <w:p>
      <w:pPr>
        <w:pStyle w:val="IntenseQuote"/>
      </w:pPr>
      <w:r>
        <w:t>| DEV | +641,353 元 / 117 笔 | **-91,419 元 / 11 笔**（均 -8,311/笔） |</w:t>
      </w:r>
    </w:p>
    <w:p>
      <w:r>
        <w:t>按持有天数（DEV）：9-11 天（持有到期）+619,156 元；0-2 天 -15,257、</w:t>
      </w:r>
    </w:p>
    <w:p>
      <w:r>
        <w:t>3-5 天 -32,819、6-8 天 -21,145——**短持段全负，利润全部来自持有到期**。</w:t>
      </w:r>
    </w:p>
    <w:p>
      <w:r>
        <w:t>退出消融（诊断，keltner_mult=4.0 ≈ 纯固定期限，不占候选预算）：</w:t>
      </w:r>
    </w:p>
    <w:p>
      <w:pPr>
        <w:pStyle w:val="IntenseQuote"/>
      </w:pPr>
      <w:r>
        <w:t>| 窗口 | 退出方式 | 年化 | Sharpe | 回撤 | 交易数 |</w:t>
      </w:r>
    </w:p>
    <w:p>
      <w:pPr>
        <w:pStyle w:val="IntenseQuote"/>
      </w:pPr>
      <w:r>
        <w:t>|---|---|---|---|---|---|</w:t>
      </w:r>
    </w:p>
    <w:p>
      <w:pPr>
        <w:pStyle w:val="IntenseQuote"/>
      </w:pPr>
      <w:r>
        <w:t>| IS | Keltner+固定期限(基线) | -3.3% | 0.01 | -19.7% | 282 |</w:t>
      </w:r>
    </w:p>
    <w:p>
      <w:pPr>
        <w:pStyle w:val="IntenseQuote"/>
      </w:pPr>
      <w:r>
        <w:t>| IS | 纯固定期限 | -3.3% | 0.01 | -21.1% | 276 |</w:t>
      </w:r>
    </w:p>
    <w:p>
      <w:pPr>
        <w:pStyle w:val="IntenseQuote"/>
      </w:pPr>
      <w:r>
        <w:t>| DEV | Keltner+固定期限(基线) | +140.2% | 3.16 | -9.6% | 128 |</w:t>
      </w:r>
    </w:p>
    <w:p>
      <w:pPr>
        <w:pStyle w:val="IntenseQuote"/>
      </w:pPr>
      <w:r>
        <w:t>| DEV | 纯固定期限 | **+144.8%** | 3.13 | -10.4% | 128 |</w:t>
      </w:r>
    </w:p>
    <w:p>
      <w:r>
        <w:t>判读：Keltner 条件退出在两个窗口的实现盈亏均为负（提前出场锁定噪声</w:t>
      </w:r>
    </w:p>
    <w:p>
      <w:r>
        <w:t>亏损），禁用后 DEV 年化反而 +4.6pp、IS 持平——**Keltner 退出无增量、</w:t>
      </w:r>
    </w:p>
    <w:p>
      <w:r>
        <w:t>略有损**，但样本中 keltner 触发占比小（DEV 11/128），整体净值差不大。</w:t>
      </w:r>
    </w:p>
    <w:p>
      <w:r>
        <w:t>H3（固定期限邻值比较）有明确归因证据支撑，建议作为首个候选方向之一；</w:t>
      </w:r>
    </w:p>
    <w:p>
      <w:r>
        <w:t>mult 网格扫描属参数搜索，须预注册并计入候选预算。</w:t>
      </w:r>
    </w:p>
    <w:p>
      <w:pPr>
        <w:pStyle w:val="Heading1"/>
      </w:pPr>
      <w:r>
        <w:t>3. 资金利用率与拒单</w:t>
      </w:r>
    </w:p>
    <w:p>
      <w:pPr>
        <w:pStyle w:val="ListBullet"/>
      </w:pPr>
      <w:r>
        <w:t>日均敞口：DEV 0.743、IS 0.640；敞口 &lt;50% 的天数占比 DEV 20.5%、IS 32.3%。</w:t>
      </w:r>
    </w:p>
    <w:p>
      <w:pPr>
        <w:pStyle w:val="ListBullet"/>
      </w:pPr>
      <w:r>
        <w:t>拒单：DEV 64 笔、IS 69 笔，**全部 cash_or_cap**（资金/敞口上限），</w:t>
      </w:r>
    </w:p>
    <w:p>
      <w:r>
        <w:t xml:space="preserve">  无涨停、停牌类拒单；skipped.csv 逐笔可查。</w:t>
      </w:r>
    </w:p>
    <w:p>
      <w:pPr>
        <w:pStyle w:val="ListBullet"/>
      </w:pPr>
      <w:r>
        <w:t>判读：闲置主因是 H=5 的仓位 sizing 上限与整手取整残留现金，而非</w:t>
      </w:r>
    </w:p>
    <w:p>
      <w:r>
        <w:t xml:space="preserve">  信号不足。按方案纪律，**不因平均敞口 0.74 直接加仓**；H5（资金分配）</w:t>
      </w:r>
    </w:p>
    <w:p>
      <w:r>
        <w:t xml:space="preserve">  需在信号问题（H1-H3）之后做。</w:t>
      </w:r>
    </w:p>
    <w:p>
      <w:pPr>
        <w:pStyle w:val="Heading1"/>
      </w:pPr>
      <w:r>
        <w:t>4. 对六个实验方向的排序建议（供阶段 B 决策）</w:t>
      </w:r>
    </w:p>
    <w:p>
      <w:r>
        <w:t>1. **H3 退出规则**——证据最强：keltner 退出实现盈亏两窗口均为负，</w:t>
      </w:r>
    </w:p>
    <w:p>
      <w:r>
        <w:t xml:space="preserve">   纯固定期限 DEV 更优。预注册：max_hold ∈ {8, 10, 12}（10 为基线值），</w:t>
      </w:r>
    </w:p>
    <w:p>
      <w:r>
        <w:t xml:space="preserve">   每档 1 个变体，共 2 个新变体。</w:t>
      </w:r>
    </w:p>
    <w:p>
      <w:r>
        <w:t>2. **H6 股票池拆解**——与方案一致：行情贡献占比需用池分层（22 定型池</w:t>
      </w:r>
    </w:p>
    <w:p>
      <w:r>
        <w:t xml:space="preserve">   vs 189 面板）确认，避免把池效应记到模型头上。</w:t>
      </w:r>
    </w:p>
    <w:p>
      <w:r>
        <w:t>3. **H1 因子去冗**——IC/相关性普查后再定；属信号层，排在退出之后。</w:t>
      </w:r>
    </w:p>
    <w:p>
      <w:r>
        <w:t>4. H2 排名缓冲、H4 状态门控（有失败史，需新证据）、H5 资金分配最后。</w:t>
      </w:r>
    </w:p>
    <w:p>
      <w:pPr>
        <w:pStyle w:val="Heading1"/>
      </w:pPr>
      <w:r>
        <w:t>5. 局限</w:t>
      </w:r>
    </w:p>
    <w:p>
      <w:pPr>
        <w:pStyle w:val="ListBullet"/>
      </w:pPr>
      <w:r>
        <w:t>DEV 仅 6 个月且利润 90% 集中于两月，+140% 年化的外推证据弱；</w:t>
      </w:r>
    </w:p>
    <w:p>
      <w:r>
        <w:t xml:space="preserve">  100% 年度目标距离仍远，当前无任何完整 12 个月窗口达标。</w:t>
      </w:r>
    </w:p>
    <w:p>
      <w:pPr>
        <w:pStyle w:val="ListBullet"/>
      </w:pPr>
      <w:r>
        <w:t>基准为研究情景（月调仓等权），非可投资指数；资格取宇宙矩阵，与</w:t>
      </w:r>
    </w:p>
    <w:p>
      <w:r>
        <w:t xml:space="preserve">  实盘可交易性仍有差距。</w:t>
      </w:r>
    </w:p>
    <w:p>
      <w:pPr>
        <w:pStyle w:val="ListBullet"/>
      </w:pPr>
      <w:r>
        <w:t>全部为历史回测，前向证据自 2026-09-01 封存起算，尚未累积。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