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quant_agent 修正记录与后续方案（评审第 2 轮后）</w:t>
      </w:r>
    </w:p>
    <w:p>
      <w:r>
        <w:t>日期：2026-09-30 深夜 ｜ 宪法：constitution_004 ｜ 状态声明：系统仍是研究原型，不声称策略有效或具备上线资格；本文件只报告工程事实与已知残余风险。</w:t>
      </w:r>
    </w:p>
    <w:p>
      <w:pPr>
        <w:pStyle w:val="Heading2"/>
      </w:pPr>
      <w:r>
        <w:t>一、本轮修正（对应评审两条未决 P0）</w:t>
      </w:r>
    </w:p>
    <w:p>
      <w:pPr>
        <w:pStyle w:val="Heading3"/>
      </w:pPr>
      <w:r>
        <w:t>1. 封存身份：撤销旧声明，降级处理（评审意见 1）</w:t>
      </w:r>
    </w:p>
    <w:p>
      <w:pPr>
        <w:pStyle w:val="ListBullet"/>
      </w:pPr>
      <w:r>
        <w:t>逐折审计（var/sealed_access_audit.md B2 节）确认：</w:t>
      </w:r>
      <w:r>
        <w:rPr>
          <w:b/>
        </w:rPr>
        <w:t>exp_20260930_210829 的第 9 折（2026-05-11..2026-08-03，OOS 年化 -52.9%）是最差折，直接进入 Gate 拒绝理由</w:t>
      </w:r>
      <w:r>
        <w:t>；该实验第 7、8 折及 exp_20260930_202923 的第 7-9 折同样越入。封存数据参与了研究选择，这一事实不因标签或空表改变。</w:t>
      </w:r>
    </w:p>
    <w:p>
      <w:pPr>
        <w:pStyle w:val="ListBullet"/>
      </w:pPr>
      <w:r>
        <w:t>处置（constitution_004）：</w:t>
      </w:r>
      <w:r>
        <w:rPr>
          <w:b/>
        </w:rPr>
        <w:t>2026-01-01..2026-08-31 整体降级为开发数据</w:t>
      </w:r>
      <w:r>
        <w:t>；"零访问保证独立性"声明</w:t>
      </w:r>
      <w:r>
        <w:rPr>
          <w:b/>
        </w:rPr>
        <w:t>撤销</w:t>
      </w:r>
      <w:r>
        <w:t>。</w:t>
      </w:r>
    </w:p>
    <w:p>
      <w:pPr>
        <w:pStyle w:val="ListBullet"/>
      </w:pPr>
      <w:r>
        <w:t xml:space="preserve">新封存区间自 </w:t>
      </w:r>
      <w:r>
        <w:rPr>
          <w:b/>
        </w:rPr>
        <w:t>2026-09-01</w:t>
      </w:r>
      <w:r>
        <w:t xml:space="preserve"> 起：此前的读取仅限 daily_forward 前向观察（产出不进研究循环）；新增</w:t>
      </w:r>
      <w:r>
        <w:rPr>
          <w:b/>
        </w:rPr>
        <w:t>代码级硬约束</w:t>
      </w:r>
      <w:r>
        <w:t>——`run_window` 拒跑一切触及封存界的窗口，全系统仅 sealed_eval 显式放行（`_allow_sealed`）。若未来无法持续证明新封存区间未被选择使用，按后备方案从策略锁定日起纯靠前向积累证据。</w:t>
      </w:r>
    </w:p>
    <w:p>
      <w:pPr>
        <w:pStyle w:val="Heading3"/>
      </w:pPr>
      <w:r>
        <w:t>2. 快照不可变：承认旧机制失效，重建并验收（评审意见 2）</w:t>
      </w:r>
    </w:p>
    <w:p>
      <w:pPr>
        <w:pStyle w:val="ListBullet"/>
      </w:pPr>
      <w:r>
        <w:t>旧"0 修订"是假象：缓存更新为原地 open(w) 截断写，与硬链接共享 inode，冻结副本随源文件同步改变，比对永远无差异。</w:t>
      </w:r>
    </w:p>
    <w:p>
      <w:pPr>
        <w:pStyle w:val="ListBullet"/>
      </w:pPr>
      <w:r>
        <w:t>修正双层落地：</w:t>
      </w:r>
    </w:p>
    <w:p>
      <w:r>
        <w:t xml:space="preserve">  1. </w:t>
      </w:r>
      <w:r>
        <w:rPr>
          <w:b/>
        </w:rPr>
        <w:t>qdata 改为原子写</w:t>
      </w:r>
      <w:r>
        <w:t>（tmp + os.replace）——正确更新姿势，源路径换新 inode，任何旧快照天然保留；</w:t>
      </w:r>
    </w:p>
    <w:p>
      <w:r>
        <w:t xml:space="preserve">  2. </w:t>
      </w:r>
      <w:r>
        <w:rPr>
          <w:b/>
        </w:rPr>
        <w:t>冻结副本改为独立拷贝 + 只读权限（0o444）+ 冻结清单自哈希</w:t>
      </w:r>
      <w:r>
        <w:t>（frozen_manifest.json），巡检先做冻结侧完整性自检再比对。</w:t>
      </w:r>
    </w:p>
    <w:p>
      <w:pPr>
        <w:pStyle w:val="ListBullet"/>
      </w:pPr>
      <w:r>
        <w:t>验收：新增 S7 测试（tests/test_snapshot_immutability.py）——对源文件执行</w:t>
      </w:r>
      <w:r>
        <w:rPr>
          <w:b/>
        </w:rPr>
        <w:t>原地覆盖、追加、删除重建、路径替换</w:t>
      </w:r>
      <w:r>
        <w:t>四种操作，冻结哈希不变；篡改冻结侧能被清单检出。通过。</w:t>
      </w:r>
    </w:p>
    <w:p>
      <w:pPr>
        <w:pStyle w:val="Heading2"/>
      </w:pPr>
      <w:r>
        <w:t>二、现金执行层的限定说明（评审意见 3 逐条回答）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事实</w:t>
            </w:r>
          </w:p>
        </w:tc>
        <w:tc>
          <w:tcPr>
            <w:tcW w:type="dxa" w:w="2880"/>
          </w:tcPr>
          <w:p>
            <w:r>
              <w:t>证据</w:t>
            </w:r>
          </w:p>
        </w:tc>
      </w:tr>
      <w:tr>
        <w:tc>
          <w:tcPr>
            <w:tcW w:type="dxa" w:w="2880"/>
          </w:tcPr>
          <w:p>
            <w:r>
              <w:t>买入是否预留手续费</w:t>
            </w:r>
          </w:p>
        </w:tc>
        <w:tc>
          <w:tcPr>
            <w:tcW w:type="dxa" w:w="2880"/>
          </w:tcPr>
          <w:p>
            <w:r>
              <w:t>是：可买金额 = 现金÷(1+买费)，费用同步扣除，逐日现金≥0</w:t>
            </w:r>
          </w:p>
        </w:tc>
        <w:tc>
          <w:tcPr>
            <w:tcW w:type="dxa" w:w="2880"/>
          </w:tcPr>
          <w:p>
            <w:r>
              <w:t>E6-1</w:t>
            </w:r>
          </w:p>
        </w:tc>
      </w:tr>
      <w:tr>
        <w:tc>
          <w:tcPr>
            <w:tcW w:type="dxa" w:w="2880"/>
          </w:tcPr>
          <w:p>
            <w:r>
              <w:t>卖单未成交是否误释放资金</w:t>
            </w:r>
          </w:p>
        </w:tc>
        <w:tc>
          <w:tcPr>
            <w:tcW w:type="dxa" w:w="2880"/>
          </w:tcPr>
          <w:p>
            <w:r>
              <w:t>否：卖出在成交时才入账；停牌顺延当日资金不跳升</w:t>
            </w:r>
          </w:p>
        </w:tc>
        <w:tc>
          <w:tcPr>
            <w:tcW w:type="dxa" w:w="2880"/>
          </w:tcPr>
          <w:p>
            <w:r>
              <w:t>E6-2</w:t>
            </w:r>
          </w:p>
        </w:tc>
      </w:tr>
      <w:tr>
        <w:tc>
          <w:tcPr>
            <w:tcW w:type="dxa" w:w="2880"/>
          </w:tcPr>
          <w:p>
            <w:r>
              <w:t>截断买入后卖出按实际持仓</w:t>
            </w:r>
          </w:p>
        </w:tc>
        <w:tc>
          <w:tcPr>
            <w:tcW w:type="dxa" w:w="2880"/>
          </w:tcPr>
          <w:p>
            <w:r>
              <w:t>是：仓位以独立批次记实际股数，出场只按实际持仓生成</w:t>
            </w:r>
          </w:p>
        </w:tc>
        <w:tc>
          <w:tcPr>
            <w:tcW w:type="dxa" w:w="2880"/>
          </w:tcPr>
          <w:p>
            <w:r>
              <w:t>E6-3</w:t>
            </w:r>
          </w:p>
        </w:tc>
      </w:tr>
      <w:tr>
        <w:tc>
          <w:tcPr>
            <w:tcW w:type="dxa" w:w="2880"/>
          </w:tcPr>
          <w:p>
            <w:r>
              <w:t>引擎退出规则是否依赖虚拟持仓</w:t>
            </w:r>
          </w:p>
        </w:tc>
        <w:tc>
          <w:tcPr>
            <w:tcW w:type="dxa" w:w="2880"/>
          </w:tcPr>
          <w:p>
            <w:r>
              <w:t>否：出场日程在信号日由特征计算确定（Keltner/到时），与是否成交无关；被跳过的意图不产生仓位与卖出</w:t>
            </w:r>
          </w:p>
        </w:tc>
        <w:tc>
          <w:tcPr>
            <w:tcW w:type="dxa" w:w="2880"/>
          </w:tcPr>
          <w:p>
            <w:r>
              <w:t>代码核验+E6-3</w:t>
            </w:r>
          </w:p>
        </w:tc>
      </w:tr>
      <w:tr>
        <w:tc>
          <w:tcPr>
            <w:tcW w:type="dxa" w:w="2880"/>
          </w:tcPr>
          <w:p>
            <w:r>
              <w:t>涨跌停/停牌/数量规则</w:t>
            </w:r>
          </w:p>
        </w:tc>
        <w:tc>
          <w:tcPr>
            <w:tcW w:type="dxa" w:w="2880"/>
          </w:tcPr>
          <w:p>
            <w:r>
              <w:t>引擎对意图单已做涨停禁买、跌停顺延；executor 复核停牌顺延与整手；开盘价滑点与部分成交未建模</w:t>
            </w:r>
          </w:p>
        </w:tc>
        <w:tc>
          <w:tcPr>
            <w:tcW w:type="dxa" w:w="2880"/>
          </w:tcPr>
          <w:p>
            <w:r>
              <w:t>E5/E6</w:t>
            </w:r>
          </w:p>
        </w:tc>
      </w:tr>
    </w:tbl>
    <w:p/>
    <w:p>
      <w:r>
        <w:t>补充澄清：</w:t>
      </w:r>
      <w:r>
        <w:rPr>
          <w:b/>
        </w:rPr>
        <w:t>"部分成交未建模"与"整手为最小单位"是两个问题</w:t>
      </w:r>
      <w:r>
        <w:t>——整手订单在真实市场仍可能部分成交，当前属于现金约束下的简化成交模拟，不证明真实执行能力。敞口上限语义：</w:t>
      </w:r>
      <w:r>
        <w:rPr>
          <w:b/>
        </w:rPr>
        <w:t>下单时约束，非每日强制再平衡</w:t>
      </w:r>
      <w:r>
        <w:t>；价格漂移可使市值敞口越限（仅当 cap&lt;1 时可能发生，cap=1 时现金账户无负债、物理上≤100%），越限天数由 `exposure_breach_days` 如实记录。</w:t>
      </w:r>
    </w:p>
    <w:p>
      <w:pPr>
        <w:pStyle w:val="Heading2"/>
      </w:pPr>
      <w:r>
        <w:t>三、数字与判定修正（评审意见 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原文</w:t>
            </w:r>
          </w:p>
        </w:tc>
        <w:tc>
          <w:tcPr>
            <w:tcW w:type="dxa" w:w="4320"/>
          </w:tcPr>
          <w:p>
            <w:r>
              <w:t>修正</w:t>
            </w:r>
          </w:p>
        </w:tc>
      </w:tr>
      <w:tr>
        <w:tc>
          <w:tcPr>
            <w:tcW w:type="dxa" w:w="4320"/>
          </w:tcPr>
          <w:p>
            <w:r>
              <w:t>"IS 年化差 20.7pp"（累计 -25.75% 对年化 -5.0%）</w:t>
            </w:r>
          </w:p>
        </w:tc>
        <w:tc>
          <w:tcPr>
            <w:tcW w:type="dxa" w:w="4320"/>
          </w:tcPr>
          <w:p>
            <w:r>
              <w:t>年化对年化：权重口径 PIT IS 年化 -15.4%，现金口径 -5.0%，差 10.4pp</w:t>
            </w:r>
          </w:p>
        </w:tc>
      </w:tr>
      <w:tr>
        <w:tc>
          <w:tcPr>
            <w:tcW w:type="dxa" w:w="4320"/>
          </w:tcPr>
          <w:p>
            <w:r>
              <w:t>"回撤差 21.6pp"</w:t>
            </w:r>
          </w:p>
        </w:tc>
        <w:tc>
          <w:tcPr>
            <w:tcW w:type="dxa" w:w="4320"/>
          </w:tcPr>
          <w:p>
            <w:r>
              <w:t>21.63% − 6.99% = 14.64pp（且为口径敏感性混合归因，见下）</w:t>
            </w:r>
          </w:p>
        </w:tc>
      </w:tr>
      <w:tr>
        <w:tc>
          <w:tcPr>
            <w:tcW w:type="dxa" w:w="4320"/>
          </w:tcPr>
          <w:p>
            <w:r>
              <w:t>EXP_0003 标 NEEDS_MORE_TESTING</w:t>
            </w:r>
          </w:p>
        </w:tc>
        <w:tc>
          <w:tcPr>
            <w:tcW w:type="dxa" w:w="4320"/>
          </w:tcPr>
          <w:p>
            <w:r>
              <w:t>证据完整且违反预设门槛，按新语义应为 REJECT；Gate 已改语义（REJECT=证据完整被否决；NEEDS=证据缺失/流程缺席），历史记录不改注，今后实验适用</w:t>
            </w:r>
          </w:p>
        </w:tc>
      </w:tr>
      <w:tr>
        <w:tc>
          <w:tcPr>
            <w:tcW w:type="dxa" w:w="4320"/>
          </w:tcPr>
          <w:p>
            <w:r>
              <w:t>基线"唯一通过全约束的部署形态"</w:t>
            </w:r>
          </w:p>
        </w:tc>
        <w:tc>
          <w:tcPr>
            <w:tcW w:type="dxa" w:w="4320"/>
          </w:tcPr>
          <w:p>
            <w:r>
              <w:t>当前研究比较基线。基线作为比较对象无需先证明优秀；命名为 champion 不授予任何部署资格（未完成有效封存、前向与真实成交验证）</w:t>
            </w:r>
          </w:p>
        </w:tc>
      </w:tr>
    </w:tbl>
    <w:p/>
    <w:p>
      <w:pPr>
        <w:pStyle w:val="Heading2"/>
      </w:pPr>
      <w:r>
        <w:t>四、口径敏感性归因：不承诺可加份额（评审意见 5）</w:t>
      </w:r>
    </w:p>
    <w:p>
      <w:r>
        <w:t>回撤 14.64pp 与 IS 10.4pp 的差异混合了四个渠道：历史资格过滤、候选覆盖、归一语义（横截面 z 在宇宙宽度上计算）、资金口径。四者可能互相交互，</w:t>
      </w:r>
      <w:r>
        <w:rPr>
          <w:b/>
        </w:rPr>
        <w:t>不承诺拆解出可直接相加的归因份额</w:t>
      </w:r>
      <w:r>
        <w:t>。P1 受控实验先报告各实验差异与交互方向，再谈结论。</w:t>
      </w:r>
    </w:p>
    <w:p>
      <w:pPr>
        <w:pStyle w:val="Heading2"/>
      </w:pPr>
      <w:r>
        <w:t>五、后续顺序（按评审重排）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顺序</w:t>
            </w:r>
          </w:p>
        </w:tc>
        <w:tc>
          <w:tcPr>
            <w:tcW w:type="dxa" w:w="2880"/>
          </w:tcPr>
          <w:p>
            <w:r>
              <w:t>工作</w:t>
            </w:r>
          </w:p>
        </w:tc>
        <w:tc>
          <w:tcPr>
            <w:tcW w:type="dxa" w:w="2880"/>
          </w:tcPr>
          <w:p>
            <w:r>
              <w:t>完成标准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✅ 封存身份修正与访问审计</w:t>
            </w:r>
          </w:p>
        </w:tc>
        <w:tc>
          <w:tcPr>
            <w:tcW w:type="dxa" w:w="2880"/>
          </w:tcPr>
          <w:p>
            <w:r>
              <w:t>降级决议入宪法（2026-01-01..2026-08-31→dev；新封存 2026-09-01 起 + 代码级拒跑）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✅ 快照真正不可变验证</w:t>
            </w:r>
          </w:p>
        </w:tc>
        <w:tc>
          <w:tcPr>
            <w:tcW w:type="dxa" w:w="2880"/>
          </w:tcPr>
          <w:p>
            <w:r>
              <w:t>qdata 原子写 + 独立只读冻结 + 清单自检 + S7 四种源更新测试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✅ 现金账户与持仓联动测试</w:t>
            </w:r>
          </w:p>
        </w:tc>
        <w:tc>
          <w:tcPr>
            <w:tcW w:type="dxa" w:w="2880"/>
          </w:tcPr>
          <w:p>
            <w:r>
              <w:t>E6 五场景通过（费用预留/卖单失败/截断联动/漂移越限记录/整手声明）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✅ 文档指标与 Gate 语义修正</w:t>
            </w:r>
          </w:p>
        </w:tc>
        <w:tc>
          <w:tcPr>
            <w:tcW w:type="dxa" w:w="2880"/>
          </w:tcPr>
          <w:p>
            <w:r>
              <w:t>同口径对比、REJECT/NEEDS 区分、champion 限定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股票池与归一化受控实验（统一资金口径）</w:t>
            </w:r>
          </w:p>
        </w:tc>
        <w:tc>
          <w:tcPr>
            <w:tcW w:type="dxa" w:w="2880"/>
          </w:tcPr>
          <w:p>
            <w:r>
              <w:t>报告差异与交互，不承诺可加份额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前向对账、多源行情校验（统一证券/时点/复权口径）、因子普查</w:t>
            </w:r>
          </w:p>
        </w:tc>
        <w:tc>
          <w:tcPr>
            <w:tcW w:type="dxa" w:w="2880"/>
          </w:tcPr>
          <w:p>
            <w:r>
              <w:t>意图单提前存档；不一致率+关键交易日双标准；为 Alpha Researcher 提供前提（发现 IC 绝对值 &gt;0.03 且三年稳定的因子才上线）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增量特征缓存、周报自动化</w:t>
            </w:r>
          </w:p>
        </w:tc>
        <w:tc>
          <w:tcPr>
            <w:tcW w:type="dxa" w:w="2880"/>
          </w:tcPr>
          <w:p>
            <w:r>
              <w:t>前向运行 &lt;30s；报告与库内证据一致</w:t>
            </w:r>
          </w:p>
        </w:tc>
      </w:tr>
    </w:tbl>
    <w:p/>
    <w:p>
      <w:pPr>
        <w:pStyle w:val="Heading2"/>
      </w:pPr>
      <w:r>
        <w:t>六、残余风险（不掩盖）</w:t>
      </w:r>
    </w:p>
    <w:p>
      <w:pPr>
        <w:pStyle w:val="ListNumber"/>
      </w:pPr>
      <w:r>
        <w:t>候选超集仍用今天的信息，残余幸存者偏差范围未知；ST 历史状态用当前名称近似。</w:t>
      </w:r>
    </w:p>
    <w:p>
      <w:pPr>
        <w:pStyle w:val="ListNumber"/>
      </w:pPr>
      <w:r>
        <w:t>新封存区间（2026-09-01 起）目前仅约 1 个月历史，统计效力为零，须靠时间积累与前向证据。</w:t>
      </w:r>
    </w:p>
    <w:p>
      <w:pPr>
        <w:pStyle w:val="ListNumber"/>
      </w:pPr>
      <w:r>
        <w:t>行情单源（腾讯），前复权修订可被监控但不可预防；多源校验在 P1。</w:t>
      </w:r>
    </w:p>
    <w:p>
      <w:pPr>
        <w:pStyle w:val="ListNumber"/>
      </w:pPr>
      <w:r>
        <w:t>LLM Critic 当前不可用：任何实验 tonight 起即使过门槛也只能 NEEDS_MORE_TESTING——这是纪律，不是缺陷。</w:t>
      </w:r>
    </w:p>
    <w:p>
      <w:pPr>
        <w:pStyle w:val="ListNumber"/>
      </w:pPr>
      <w:r>
        <w:t>做T（日内回转）场景与 quant_agent 波段语义未对接。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