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第一轮实验交付报告（constitution_007，2026-10-01）</w:t>
      </w:r>
    </w:p>
    <w:p>
      <w:r>
        <w:t>全部结论可追溯至 `var/attribution/` 与 `var/exp_round1/` 的实际产物；</w:t>
      </w:r>
    </w:p>
    <w:p>
      <w:r>
        <w:t>数字由脚本自动生成，非手算。测试 9/9 全绿（引擎/执行层改动后回归）。</w:t>
      </w:r>
    </w:p>
    <w:p>
      <w:pPr>
        <w:pStyle w:val="Heading1"/>
      </w:pPr>
      <w:r>
        <w:t>一、产物一致性修复（任务书第一部分）</w:t>
      </w:r>
    </w:p>
    <w:p>
      <w:r>
        <w:t>**已修复的错误及源码根因：**</w:t>
      </w:r>
    </w:p>
    <w:p>
      <w:r>
        <w:t>1. **equity_IS.csv 日期截断/偏移**——根因：`execute_cash` 的日度序列</w:t>
      </w:r>
    </w:p>
    <w:p>
      <w:r>
        <w:t xml:space="preserve">   原从首个意图入场日（day0）起，而归因导出按窗口起点拼接日期</w:t>
      </w:r>
    </w:p>
    <w:p>
      <w:r>
        <w:t xml:space="preserve">   （索引偏移 25 个交易日，文件止于 2025-06-04 而成交至 06-30）。</w:t>
      </w:r>
    </w:p>
    <w:p>
      <w:r>
        <w:t xml:space="preserve">   修复：`executor` 新增 `start_day` 参数，`runner` 传窗口起点，日度</w:t>
      </w:r>
    </w:p>
    <w:p>
      <w:r>
        <w:t xml:space="preserve">   序列覆盖全窗口并自带对齐。修复后 account_IS.csv 为 434 行、</w:t>
      </w:r>
    </w:p>
    <w:p>
      <w:r>
        <w:t xml:space="preserve">   首日 2023-09-08、末日 2025-06-30，与成交记录一致。</w:t>
      </w:r>
    </w:p>
    <w:p>
      <w:r>
        <w:t>2. **"基线净值"列名误标**——列内实为日收益率。导出统一改为</w:t>
      </w:r>
    </w:p>
    <w:p>
      <w:r>
        <w:t xml:space="preserve">   `date, daily_return, equity, cash, market_value, fees_cum, exposure,</w:t>
      </w:r>
    </w:p>
    <w:p>
      <w:r>
        <w:t xml:space="preserve">   n_signals, target_yuan, filled_yuan, n_skips, benchmark_equity`，</w:t>
      </w:r>
    </w:p>
    <w:p>
      <w:r>
        <w:t xml:space="preserve">   基线与基准按日期连接（account_*.csv）。</w:t>
      </w:r>
    </w:p>
    <w:p>
      <w:r>
        <w:t>3. **基准终值 119.79 万 vs 累计 25.94% 的矛盾**——119.79 万是旧导出</w:t>
      </w:r>
    </w:p>
    <w:p>
      <w:r>
        <w:t xml:space="preserve">   把基准列截到 416 行后的截断点数值，非终值。修复后基准终值</w:t>
      </w:r>
    </w:p>
    <w:p>
      <w:r>
        <w:t xml:space="preserve">   1,259,029.30 元 ↔ 累计 25.90% 程序断言对账通过（&lt;1e-9）。</w:t>
      </w:r>
    </w:p>
    <w:p>
      <w:r>
        <w:t>4. **报告数字改全自动生成**——修正两处手算错误：DEV 前十大交易</w:t>
      </w:r>
    </w:p>
    <w:p>
      <w:r>
        <w:t xml:space="preserve">   利润贡献实为 **71.8%**（原报告写约 60%）；9-12 月已实现盈亏（按</w:t>
      </w:r>
    </w:p>
    <w:p>
      <w:r>
        <w:t xml:space="preserve">   平仓月）实为 **+57,073 元**（原报告写 -1.2 万）。monthly_*.csv</w:t>
      </w:r>
    </w:p>
    <w:p>
      <w:r>
        <w:t xml:space="preserve">   同时给出"按平仓月的已实现盈亏"与"账户月度收益（日度权益复合）"</w:t>
      </w:r>
    </w:p>
    <w:p>
      <w:r>
        <w:t xml:space="preserve">   两个口径。</w:t>
      </w:r>
    </w:p>
    <w:p>
      <w:r>
        <w:t>5. **逐日账户对账**（容差 0.01 元，实测差 ~1e-9 元）：期末权益=</w:t>
      </w:r>
    </w:p>
    <w:p>
      <w:r>
        <w:t xml:space="preserve">   日收益复合；Σ成交净盈亏=权益变动（IS -54,291.21 元、DEV</w:t>
      </w:r>
    </w:p>
    <w:p>
      <w:r>
        <w:t xml:space="preserve">   +549,934.39 元，两侧各自闭合）。</w:t>
      </w:r>
    </w:p>
    <w:p>
      <w:r>
        <w:t>**过程错误（同样如实登记）**：实验开关首次运行未生效（</w:t>
      </w:r>
    </w:p>
    <w:p>
      <w:r>
        <w:t>adapter.materialize 不透传、后修正命名不一致），两次无效运行已记入</w:t>
      </w:r>
    </w:p>
    <w:p>
      <w:r>
        <w:t>`var/budget_ledger.jsonl` 的 CORRECTION 条目，不计证据。</w:t>
      </w:r>
    </w:p>
    <w:p>
      <w:pPr>
        <w:pStyle w:val="Heading1"/>
      </w:pPr>
      <w:r>
        <w:t>二、实验 A：Keltner 退出（显式开关 exit_keltner，非 mult 冒充）</w:t>
      </w:r>
    </w:p>
    <w:p>
      <w:r>
        <w:t>完整组合重跑（现金执行层联动资金释放与后续交易）+ 退出反事实</w:t>
      </w:r>
    </w:p>
    <w:p>
      <w:r>
        <w:t>（相同入场/相同数量仅换退出日，诊断、非组合收益）：</w:t>
      </w:r>
    </w:p>
    <w:p>
      <w:pPr>
        <w:pStyle w:val="IntenseQuote"/>
      </w:pPr>
      <w:r>
        <w:t>| 变体 | 窗口 | 净累计 | 年化 | Sharpe | 回撤 | 交易数 | 日度5%分位 |</w:t>
      </w:r>
    </w:p>
    <w:p>
      <w:pPr>
        <w:pStyle w:val="IntenseQuote"/>
      </w:pPr>
      <w:r>
        <w:t>|---|---|---|---|---|---|---|---|</w:t>
      </w:r>
    </w:p>
    <w:p>
      <w:pPr>
        <w:pStyle w:val="IntenseQuote"/>
      </w:pPr>
      <w:r>
        <w:t>| 基线(Keltner开) | IS | -5.43% | -3.2% | 0.01 | -19.7% | 282 | -2.53% |</w:t>
      </w:r>
    </w:p>
    <w:p>
      <w:pPr>
        <w:pStyle w:val="IntenseQuote"/>
      </w:pPr>
      <w:r>
        <w:t>| A(Keltner关) | IS | -5.39% | -3.2% | 0.01 | **-21.1%** | 276 | -2.54% |</w:t>
      </w:r>
    </w:p>
    <w:p>
      <w:pPr>
        <w:pStyle w:val="IntenseQuote"/>
      </w:pPr>
      <w:r>
        <w:t>| 基线 | DEV | +54.99% | +140.2% | 3.16 | -9.6% | 128 | -2.26% |</w:t>
      </w:r>
    </w:p>
    <w:p>
      <w:pPr>
        <w:pStyle w:val="IntenseQuote"/>
      </w:pPr>
      <w:r>
        <w:t>| A | DEV | **+56.46%** | +144.8% | 3.13 | -10.4% | 128 | -2.30% |</w:t>
      </w:r>
    </w:p>
    <w:p>
      <w:r>
        <w:t>反事实（401 对配对）：IS 段 Keltner 退出少亏 19,006 元（274 对中</w:t>
      </w:r>
    </w:p>
    <w:p>
      <w:r>
        <w:t>止损有效）；DEV 段持有到期多赚 10,269 元（Keltner 提前出场错失趋势）。</w:t>
      </w:r>
    </w:p>
    <w:p>
      <w:r>
        <w:t>组合层面 DEV 净收益 +1.5pp 但回撤 +0.8pp、Sharpe -0.03。</w:t>
      </w:r>
    </w:p>
    <w:p>
      <w:r>
        <w:t>**Gate（预注册规则）**：滚动 3 月窗口 4/4 全正、净累计更优、回撤</w:t>
      </w:r>
    </w:p>
    <w:p>
      <w:r>
        <w:t xml:space="preserve"> slack 内，唯 Sharpe 3.134 &lt; 3.159 → **REJECT（差 0.8%，证据上属</w:t>
      </w:r>
    </w:p>
    <w:p>
      <w:r>
        <w:t xml:space="preserve"> 等价类，按冻结门槛不晋级）**。</w:t>
      </w:r>
    </w:p>
    <w:p>
      <w:pPr>
        <w:pStyle w:val="Heading1"/>
      </w:pPr>
      <w:r>
        <w:t>三、实验 B：重复入场封锁（block_reentry）</w:t>
      </w:r>
    </w:p>
    <w:p>
      <w:r>
        <w:t>688110.SH 重叠核查：DEV 4 批峰值 4 并发、重叠 3 天、贡献</w:t>
      </w:r>
    </w:p>
    <w:p>
      <w:r>
        <w:t>+203,447 元（占 DEV 总利润 37%）。封锁后：</w:t>
      </w:r>
    </w:p>
    <w:p>
      <w:pPr>
        <w:pStyle w:val="IntenseQuote"/>
      </w:pPr>
      <w:r>
        <w:t>| 变体 | 窗口 | 净累计 | 年化 | Sharpe | 回撤 | 交易数 |</w:t>
      </w:r>
    </w:p>
    <w:p>
      <w:pPr>
        <w:pStyle w:val="IntenseQuote"/>
      </w:pPr>
      <w:r>
        <w:t>|---|---|---|---|---|---|---|</w:t>
      </w:r>
    </w:p>
    <w:p>
      <w:pPr>
        <w:pStyle w:val="IntenseQuote"/>
      </w:pPr>
      <w:r>
        <w:t>| B | IS | **+3.61%** | +2.1% | 0.21 | **-12.2%** | 159 |</w:t>
      </w:r>
    </w:p>
    <w:p>
      <w:pPr>
        <w:pStyle w:val="IntenseQuote"/>
      </w:pPr>
      <w:r>
        <w:t>| B | DEV | +20.68% | +45.6% | 1.92 | **-6.9%** | 82 |</w:t>
      </w:r>
    </w:p>
    <w:p>
      <w:r>
        <w:t>风险全面改善（IS 回撤 -19.7%→-12.2%，DEV -9.6%→-6.9%）但 DEV</w:t>
      </w:r>
    </w:p>
    <w:p>
      <w:r>
        <w:t>收益腰斩以上 → **REJECT**（净累计/Sharpe/滚动占比三项均不达标）。</w:t>
      </w:r>
    </w:p>
    <w:p>
      <w:pPr>
        <w:pStyle w:val="Heading1"/>
      </w:pPr>
      <w:r>
        <w:t>四、资金利用率诊断（第三部分）</w:t>
      </w:r>
    </w:p>
    <w:p>
      <w:r>
        <w:t>拒单 69+64 笔全部细分为 **cash_short+cap_room 双触发**：满仓部署后</w:t>
      </w:r>
    </w:p>
    <w:p>
      <w:r>
        <w:t>残余现金与敞口空间同时不足一手（cap=1.0 时 room≈cash）。逐日诊断</w:t>
      </w:r>
    </w:p>
    <w:p>
      <w:r>
        <w:t>表（n_signals/target_yuan/filled_yuan/n_skips 列）显示信号持续存在、</w:t>
      </w:r>
    </w:p>
    <w:p>
      <w:r>
        <w:t>目标金额稳定，拒单集中在高仓位阶段——**闲置主因是 H=5 sizing 满仓</w:t>
      </w:r>
    </w:p>
    <w:p>
      <w:r>
        <w:t>后的结构性残余现金，非信号不足、非整手取整误差**（取整只造成</w:t>
      </w:r>
    </w:p>
    <w:p>
      <w:r>
        <w:t>每批几百元级残留）。按纪律未据此提高仓位。</w:t>
      </w:r>
    </w:p>
    <w:p>
      <w:pPr>
        <w:pStyle w:val="Heading1"/>
      </w:pPr>
      <w:r>
        <w:t>五、四个问题的直接回答</w:t>
      </w:r>
    </w:p>
    <w:p>
      <w:r>
        <w:t>1. **哪些错误已修复，原收益结论受何影响**：equity 导出索引偏移、</w:t>
      </w:r>
    </w:p>
    <w:p>
      <w:r>
        <w:t xml:space="preserve">   列名误标、基准截断矛盾、两处手算数字（71.8%、+5.71 万）已修复；</w:t>
      </w:r>
    </w:p>
    <w:p>
      <w:r>
        <w:t xml:space="preserve">   账户对账闭合。基线收益结论（IS -5.4%、DEV +55.0%）数字不变，</w:t>
      </w:r>
    </w:p>
    <w:p>
      <w:r>
        <w:t xml:space="preserve">   归因叙事修正：Keltner 退出"两窗口均负贡献"的反事实证据是混合的</w:t>
      </w:r>
    </w:p>
    <w:p>
      <w:r>
        <w:t xml:space="preserve">   （IS 正贡献 +1.9 万、DEV 负贡献 -1.0 万），原归因过度简化。</w:t>
      </w:r>
    </w:p>
    <w:p>
      <w:r>
        <w:t>2. **Keltner 与重复入场各贡献什么**：Keltner 在震荡市（IS）是有效</w:t>
      </w:r>
    </w:p>
    <w:p>
      <w:r>
        <w:t xml:space="preserve">   止损、在趋势市（DEV）提前出场有代价，组合净效应 ≈ +1.5pp 收益</w:t>
      </w:r>
    </w:p>
    <w:p>
      <w:r>
        <w:t xml:space="preserve">   换 +0.8pp 回撤；重复入场封锁是强风控（回撤降 3-7pp）但代价是</w:t>
      </w:r>
    </w:p>
    <w:p>
      <w:r>
        <w:t xml:space="preserve">   收益腰斩（DEV 利润 37% 来自 688110 金字塔加仓）。</w:t>
      </w:r>
    </w:p>
    <w:p>
      <w:r>
        <w:t>3. **哪个保留哪个拒绝**：两者均按冻结 Gate **REJECT、不替换基线**；</w:t>
      </w:r>
    </w:p>
    <w:p>
      <w:r>
        <w:t xml:space="preserve">   A 属等价类（收益/风险互抵），B 收益损失不可接受。开关保留在</w:t>
      </w:r>
    </w:p>
    <w:p>
      <w:r>
        <w:t xml:space="preserve">   代码库供后续组合实验复用。</w:t>
      </w:r>
    </w:p>
    <w:p>
      <w:r>
        <w:t>4. **哪些完整 12 个月窗口达到 100%**：**无，且证据不足**——IS 为</w:t>
      </w:r>
    </w:p>
    <w:p>
      <w:r>
        <w:t xml:space="preserve">   约 21 个月窗口累计 -5.4%，DEV 仅 6 个月 +55.0%；没有任何完整</w:t>
      </w:r>
    </w:p>
    <w:p>
      <w:r>
        <w:t xml:space="preserve">   12 个月窗口，不以半年年化替代年度达标。</w:t>
      </w:r>
    </w:p>
    <w:p>
      <w:pPr>
        <w:pStyle w:val="Heading1"/>
      </w:pPr>
      <w:r>
        <w:t>六、下一轮假设（≤3，选 1）</w:t>
      </w:r>
    </w:p>
    <w:p>
      <w:r>
        <w:t>1. **H3 持有期邻值：max_hold ∈ {8, 12}（基线 10）**——归因显示利润</w:t>
      </w:r>
    </w:p>
    <w:p>
      <w:r>
        <w:t xml:space="preserve">   全部来自持有到期段（9-11 天 +61.9 万，短持段全负），且 A 实验</w:t>
      </w:r>
    </w:p>
    <w:p>
      <w:r>
        <w:t xml:space="preserve">   显示延长持有在趋势市有正收益；每档 1 变体，共 2 个，预算内。</w:t>
      </w:r>
    </w:p>
    <w:p>
      <w:r>
        <w:t>2. H5 资金分配： sizing 从 H=5 固定权重改为带现金缓冲的目标仓位</w:t>
      </w:r>
    </w:p>
    <w:p>
      <w:r>
        <w:t xml:space="preserve">   （解决 cash_short+cap_room 结构性拒单），信号层不变。</w:t>
      </w:r>
    </w:p>
    <w:p>
      <w:r>
        <w:t>3. H1 因子普查：13 因子 Rank IC/相关性/分窗口稳定性，为去冗提供</w:t>
      </w:r>
    </w:p>
    <w:p>
      <w:r>
        <w:t xml:space="preserve">   证据（纯诊断性质，先做普查不计变体）。</w:t>
      </w:r>
    </w:p>
    <w:p>
      <w:r>
        <w:t>**建议下一轮执行：H3（max_hold 邻值）**——证据最直接、变体最少、</w:t>
      </w:r>
    </w:p>
    <w:p>
      <w:r>
        <w:t>与已完成的退出归因形成闭环。</w:t>
      </w:r>
    </w:p>
    <w:p>
      <w:pPr>
        <w:pStyle w:val="Heading1"/>
      </w:pPr>
      <w:r>
        <w:t>七、交付物清单</w:t>
      </w:r>
    </w:p>
    <w:p>
      <w:pPr>
        <w:pStyle w:val="ListBullet"/>
      </w:pPr>
      <w:r>
        <w:t>源码差异：qengine（实验开关）、executor（start_day/诊断/拒单细分）、</w:t>
      </w:r>
    </w:p>
    <w:p>
      <w:r>
        <w:t xml:space="preserve">  runner（传 start_day）、adapter（开关透传）、constitution_007</w:t>
      </w:r>
    </w:p>
    <w:p>
      <w:pPr>
        <w:pStyle w:val="ListBullet"/>
      </w:pPr>
      <w:r>
        <w:t>代码/配置哈希：constitution f2103a323e9791df / qengine 622c40a2bf78437a</w:t>
      </w:r>
    </w:p>
    <w:p>
      <w:r>
        <w:t xml:space="preserve">  / executor cb5c0e51794c59eb / runner eb413058561307c5 /</w:t>
      </w:r>
    </w:p>
    <w:p>
      <w:r>
        <w:t xml:space="preserve">  adapter a4d89bc0cf05aef6 / attribution 0ab5ed35b37b0dcd /</w:t>
      </w:r>
    </w:p>
    <w:p>
      <w:r>
        <w:t xml:space="preserve">  exp_round1 1b69b0271314ad4c（sha256 前 16 位）</w:t>
      </w:r>
    </w:p>
    <w:p>
      <w:pPr>
        <w:pStyle w:val="ListBullet"/>
      </w:pPr>
      <w:r>
        <w:t>复现命令：`python3 -m quant_agent.research.attribution`；</w:t>
      </w:r>
    </w:p>
    <w:p>
      <w:r>
        <w:t xml:space="preserve">  `python3 -m quant_agent.exp_round1`；测试 `python3 -m quant_agent.tests.test_&lt;name&gt;`</w:t>
      </w:r>
    </w:p>
    <w:p>
      <w:pPr>
        <w:pStyle w:val="ListBullet"/>
      </w:pPr>
      <w:r>
        <w:t>产物：var/attribution/（account/monthly/fills/skipped/对账）、</w:t>
      </w:r>
    </w:p>
    <w:p>
      <w:r>
        <w:t xml:space="preserve">  var/exp_round1/（comparison/A_counterfactual/rolling/overlap/account）、</w:t>
      </w:r>
    </w:p>
    <w:p>
      <w:r>
        <w:t xml:space="preserve">  var/budget_ledger.jsonl</w:t>
      </w:r>
    </w:p>
    <w:p>
      <w:pPr>
        <w:pStyle w:val="ListBullet"/>
      </w:pPr>
      <w:r>
        <w:t>快照 v5 `fe312f298f159972`；本金 100 万研究情景；费用买0.20‰/卖0.25‰+最低5元。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