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第二轮报告：统计修正 + 持有期邻值敏感性（constitution_007）</w:t>
      </w:r>
    </w:p>
    <w:p>
      <w:r>
        <w:t>A/B 结果与第一轮一致（确定性复跑），仅统计修正：</w:t>
      </w:r>
    </w:p>
    <w:p>
      <w:r>
        <w:t>反事实配对 401 对，缺失 9 笔（清单见 A_counterfactual_missing.csv，非选择性剔除）；重叠口径修正为 [入场,出场) 逐日并发。</w:t>
      </w:r>
    </w:p>
    <w:p>
      <w:r>
        <w:t>A 的结论措辞修正为：差异较小、未通过冻结门槛（不声称统计等价）。</w:t>
      </w:r>
    </w:p>
    <w:p>
      <w:pPr>
        <w:pStyle w:val="Heading1"/>
      </w:pPr>
      <w:r>
        <w:t>比较表</w:t>
      </w:r>
    </w:p>
    <w:p>
      <w:pPr>
        <w:pStyle w:val="IntenseQuote"/>
      </w:pPr>
      <w:r>
        <w:t>| 变体 | 窗口 | 净累计 | 年化 | Sharpe | 回撤 | 交易数 | 日均敞口 |</w:t>
      </w:r>
    </w:p>
    <w:p>
      <w:pPr>
        <w:pStyle w:val="IntenseQuote"/>
      </w:pPr>
      <w:r>
        <w:t>|---|---|---|---|---|---|---|---|</w:t>
      </w:r>
    </w:p>
    <w:p>
      <w:pPr>
        <w:pStyle w:val="IntenseQuote"/>
      </w:pPr>
      <w:r>
        <w:t>| baseline | IS | -5.4% | -3.2% | 0.01 | -19.7% | 282 | 38.8% |</w:t>
      </w:r>
    </w:p>
    <w:p>
      <w:pPr>
        <w:pStyle w:val="IntenseQuote"/>
      </w:pPr>
      <w:r>
        <w:t>| baseline | DEV | 55.0% | 140.2% | 3.16 | -9.6% | 128 | 66.0% |</w:t>
      </w:r>
    </w:p>
    <w:p>
      <w:pPr>
        <w:pStyle w:val="IntenseQuote"/>
      </w:pPr>
      <w:r>
        <w:t>| A_keltner_off | IS | -5.4% | -3.2% | 0.01 | -21.1% | 276 | 41.4% |</w:t>
      </w:r>
    </w:p>
    <w:p>
      <w:pPr>
        <w:pStyle w:val="IntenseQuote"/>
      </w:pPr>
      <w:r>
        <w:t>| A_keltner_off | DEV | 56.5% | 144.8% | 3.13 | -10.4% | 128 | 68.4% |</w:t>
      </w:r>
    </w:p>
    <w:p>
      <w:pPr>
        <w:pStyle w:val="IntenseQuote"/>
      </w:pPr>
      <w:r>
        <w:t>| B_block_reentry | IS | 3.6% | 2.1% | 0.21 | -12.2% | 159 | 23.7% |</w:t>
      </w:r>
    </w:p>
    <w:p>
      <w:pPr>
        <w:pStyle w:val="IntenseQuote"/>
      </w:pPr>
      <w:r>
        <w:t>| B_block_reentry | DEV | 20.7% | 45.6% | 1.92 | -6.9% | 82 | 45.9% |</w:t>
      </w:r>
    </w:p>
    <w:p>
      <w:pPr>
        <w:pStyle w:val="IntenseQuote"/>
      </w:pPr>
      <w:r>
        <w:t>| H3_maxhold8 | IS | -8.4% | -5.0% | -0.08 | -22.9% | 298 | 34.1% |</w:t>
      </w:r>
    </w:p>
    <w:p>
      <w:pPr>
        <w:pStyle w:val="IntenseQuote"/>
      </w:pPr>
      <w:r>
        <w:t>| H3_maxhold8 | DEV | 22.6% | 50.4% | 1.77 | -10.0% | 147 | 62.5% |</w:t>
      </w:r>
    </w:p>
    <w:p>
      <w:pPr>
        <w:pStyle w:val="IntenseQuote"/>
      </w:pPr>
      <w:r>
        <w:t>| H3_maxhold12 | IS | 4.0% | 2.3% | 0.21 | -19.8% | 253 | 42.0% |</w:t>
      </w:r>
    </w:p>
    <w:p>
      <w:pPr>
        <w:pStyle w:val="IntenseQuote"/>
      </w:pPr>
      <w:r>
        <w:t>| H3_maxhold12 | DEV | 43.8% | 106.7% | 2.56 | -9.7% | 108 | 67.7% |</w:t>
      </w:r>
    </w:p>
    <w:p>
      <w:pPr>
        <w:pStyle w:val="Heading1"/>
      </w:pPr>
      <w:r>
        <w:t>滚动年度窗口（开发历史表现，252 交易日口径）</w:t>
      </w:r>
    </w:p>
    <w:p>
      <w:pPr>
        <w:pStyle w:val="IntenseQuote"/>
      </w:pPr>
      <w:r>
        <w:t>| 变体 | 窗口 | 窗数 | 最小 | 最大 | 达到100%窗数 |</w:t>
      </w:r>
    </w:p>
    <w:p>
      <w:pPr>
        <w:pStyle w:val="IntenseQuote"/>
      </w:pPr>
      <w:r>
        <w:t>|---|---|---|---|---|---|</w:t>
      </w:r>
    </w:p>
    <w:p>
      <w:pPr>
        <w:pStyle w:val="IntenseQuote"/>
      </w:pPr>
      <w:r>
        <w:t>| baseline | IS | 183 | -17.3% | 21.3% | 0 |</w:t>
      </w:r>
    </w:p>
    <w:p>
      <w:pPr>
        <w:pStyle w:val="IntenseQuote"/>
      </w:pPr>
      <w:r>
        <w:t>| baseline | DEV | 0 | - | - | 0 |</w:t>
      </w:r>
    </w:p>
    <w:p>
      <w:pPr>
        <w:pStyle w:val="IntenseQuote"/>
      </w:pPr>
      <w:r>
        <w:t>| A_keltner_off | IS | 183 | -15.6% | 22.9% | 0 |</w:t>
      </w:r>
    </w:p>
    <w:p>
      <w:pPr>
        <w:pStyle w:val="IntenseQuote"/>
      </w:pPr>
      <w:r>
        <w:t>| A_keltner_off | DEV | 0 | - | - | 0 |</w:t>
      </w:r>
    </w:p>
    <w:p>
      <w:pPr>
        <w:pStyle w:val="IntenseQuote"/>
      </w:pPr>
      <w:r>
        <w:t>| B_block_reentry | IS | 183 | -12.0% | 13.3% | 0 |</w:t>
      </w:r>
    </w:p>
    <w:p>
      <w:pPr>
        <w:pStyle w:val="IntenseQuote"/>
      </w:pPr>
      <w:r>
        <w:t>| B_block_reentry | DEV | 0 | - | - | 0 |</w:t>
      </w:r>
    </w:p>
    <w:p>
      <w:pPr>
        <w:pStyle w:val="IntenseQuote"/>
      </w:pPr>
      <w:r>
        <w:t>| H3_maxhold8 | IS | 183 | -21.0% | 11.2% | 0 |</w:t>
      </w:r>
    </w:p>
    <w:p>
      <w:pPr>
        <w:pStyle w:val="IntenseQuote"/>
      </w:pPr>
      <w:r>
        <w:t>| H3_maxhold8 | DEV | 0 | - | - | 0 |</w:t>
      </w:r>
    </w:p>
    <w:p>
      <w:pPr>
        <w:pStyle w:val="IntenseQuote"/>
      </w:pPr>
      <w:r>
        <w:t>| H3_maxhold12 | IS | 183 | -15.9% | 25.6% | 0 |</w:t>
      </w:r>
    </w:p>
    <w:p>
      <w:pPr>
        <w:pStyle w:val="IntenseQuote"/>
      </w:pPr>
      <w:r>
        <w:t>| H3_maxhold12 | DEV | 0 | - | - | 0 |</w:t>
      </w:r>
    </w:p>
    <w:p>
      <w:pPr>
        <w:pStyle w:val="Heading1"/>
      </w:pPr>
      <w:r>
        <w:t>滚动年度窗口（真实日历 12 个月口径）</w:t>
      </w:r>
    </w:p>
    <w:p>
      <w:pPr>
        <w:pStyle w:val="IntenseQuote"/>
      </w:pPr>
      <w:r>
        <w:t>| 变体 | 窗口 | 窗数 | 最小 | 最大 | 达到100%窗数 |</w:t>
      </w:r>
    </w:p>
    <w:p>
      <w:pPr>
        <w:pStyle w:val="IntenseQuote"/>
      </w:pPr>
      <w:r>
        <w:t>|---|---|---|---|---|---|</w:t>
      </w:r>
    </w:p>
    <w:p>
      <w:pPr>
        <w:pStyle w:val="IntenseQuote"/>
      </w:pPr>
      <w:r>
        <w:t>| baseline | IS | 192 | -17.3% | 21.3% | 0 |</w:t>
      </w:r>
    </w:p>
    <w:p>
      <w:pPr>
        <w:pStyle w:val="IntenseQuote"/>
      </w:pPr>
      <w:r>
        <w:t>| baseline | DEV | 0 | - | - | 0 |</w:t>
      </w:r>
    </w:p>
    <w:p>
      <w:pPr>
        <w:pStyle w:val="IntenseQuote"/>
      </w:pPr>
      <w:r>
        <w:t>| A_keltner_off | IS | 192 | -15.6% | 22.9% | 0 |</w:t>
      </w:r>
    </w:p>
    <w:p>
      <w:pPr>
        <w:pStyle w:val="IntenseQuote"/>
      </w:pPr>
      <w:r>
        <w:t>| A_keltner_off | DEV | 0 | - | - | 0 |</w:t>
      </w:r>
    </w:p>
    <w:p>
      <w:pPr>
        <w:pStyle w:val="IntenseQuote"/>
      </w:pPr>
      <w:r>
        <w:t>| B_block_reentry | IS | 192 | -12.0% | 14.8% | 0 |</w:t>
      </w:r>
    </w:p>
    <w:p>
      <w:pPr>
        <w:pStyle w:val="IntenseQuote"/>
      </w:pPr>
      <w:r>
        <w:t>| B_block_reentry | DEV | 0 | - | - | 0 |</w:t>
      </w:r>
    </w:p>
    <w:p>
      <w:pPr>
        <w:pStyle w:val="IntenseQuote"/>
      </w:pPr>
      <w:r>
        <w:t>| H3_maxhold8 | IS | 192 | -21.0% | 11.2% | 0 |</w:t>
      </w:r>
    </w:p>
    <w:p>
      <w:pPr>
        <w:pStyle w:val="IntenseQuote"/>
      </w:pPr>
      <w:r>
        <w:t>| H3_maxhold8 | DEV | 0 | - | - | 0 |</w:t>
      </w:r>
    </w:p>
    <w:p>
      <w:pPr>
        <w:pStyle w:val="IntenseQuote"/>
      </w:pPr>
      <w:r>
        <w:t>| H3_maxhold12 | IS | 192 | -15.9% | 25.5% | 0 |</w:t>
      </w:r>
    </w:p>
    <w:p>
      <w:pPr>
        <w:pStyle w:val="IntenseQuote"/>
      </w:pPr>
      <w:r>
        <w:t>| H3_maxhold12 | DEV | 0 | - | - | 0 |</w:t>
      </w:r>
    </w:p>
    <w:p>
      <w:pPr>
        <w:pStyle w:val="Heading1"/>
      </w:pPr>
      <w:r>
        <w:t>同股集中度</w:t>
      </w:r>
    </w:p>
    <w:p>
      <w:pPr>
        <w:pStyle w:val="IntenseQuote"/>
      </w:pPr>
      <w:r>
        <w:t>| 变体 | 窗口 | 最大并发批次 | 峰值并发证券 | ≥2并发天数 | 峰值单股权重 |</w:t>
      </w:r>
    </w:p>
    <w:p>
      <w:pPr>
        <w:pStyle w:val="IntenseQuote"/>
      </w:pPr>
      <w:r>
        <w:t>|---|---|---|---|---|---|</w:t>
      </w:r>
    </w:p>
    <w:p>
      <w:pPr>
        <w:pStyle w:val="IntenseQuote"/>
      </w:pPr>
      <w:r>
        <w:t>| baseline | IS | 7 | 688146.SH | 230/434 | 77.5% |</w:t>
      </w:r>
    </w:p>
    <w:p>
      <w:pPr>
        <w:pStyle w:val="IntenseQuote"/>
      </w:pPr>
      <w:r>
        <w:t>| baseline | DEV | 5 | 688689.SH | 95/126 | 42.5% |</w:t>
      </w:r>
    </w:p>
    <w:p>
      <w:pPr>
        <w:pStyle w:val="IntenseQuote"/>
      </w:pPr>
      <w:r>
        <w:t>| A_keltner_off | IS | 7 | 688146.SH | 229/434 | 77.6% |</w:t>
      </w:r>
    </w:p>
    <w:p>
      <w:pPr>
        <w:pStyle w:val="IntenseQuote"/>
      </w:pPr>
      <w:r>
        <w:t>| A_keltner_off | DEV | 5 | 688689.SH | 94/126 | 42.3% |</w:t>
      </w:r>
    </w:p>
    <w:p>
      <w:pPr>
        <w:pStyle w:val="IntenseQuote"/>
      </w:pPr>
      <w:r>
        <w:t>| B_block_reentry | IS | 1 | 605358.SH | 0/434 | 21.4% |</w:t>
      </w:r>
    </w:p>
    <w:p>
      <w:pPr>
        <w:pStyle w:val="IntenseQuote"/>
      </w:pPr>
      <w:r>
        <w:t>| B_block_reentry | DEV | 1 | 301369.SZ | 0/126 | 22.2% |</w:t>
      </w:r>
    </w:p>
    <w:p>
      <w:pPr>
        <w:pStyle w:val="IntenseQuote"/>
      </w:pPr>
      <w:r>
        <w:t>| H3_maxhold8 | IS | 7 | 002185.SZ | 203/434 | 69.7% |</w:t>
      </w:r>
    </w:p>
    <w:p>
      <w:pPr>
        <w:pStyle w:val="IntenseQuote"/>
      </w:pPr>
      <w:r>
        <w:t>| H3_maxhold8 | DEV | 6 | 605111.SH | 88/126 | 50.8% |</w:t>
      </w:r>
    </w:p>
    <w:p>
      <w:pPr>
        <w:pStyle w:val="IntenseQuote"/>
      </w:pPr>
      <w:r>
        <w:t>| H3_maxhold12 | IS | 7 | 002185.SZ | 247/434 | 77.7% |</w:t>
      </w:r>
    </w:p>
    <w:p>
      <w:pPr>
        <w:pStyle w:val="IntenseQuote"/>
      </w:pPr>
      <w:r>
        <w:t>| H3_maxhold12 | DEV | 6 | 002119.SZ | 94/126 | 43.1% |</w:t>
      </w:r>
    </w:p>
    <w:p>
      <w:pPr>
        <w:pStyle w:val="Heading1"/>
      </w:pPr>
      <w:r>
        <w:t>688110.SH 重叠（修正口径）</w:t>
      </w:r>
    </w:p>
    <w:p>
      <w:pPr>
        <w:pStyle w:val="IntenseQuote"/>
      </w:pPr>
      <w:r>
        <w:t>| 变体 | 窗口 | 批次数 | 峰值并发 | ≥2并发天数 | 峰值并发天数 | 净盈亏(元) |</w:t>
      </w:r>
    </w:p>
    <w:p>
      <w:pPr>
        <w:pStyle w:val="IntenseQuote"/>
      </w:pPr>
      <w:r>
        <w:t>|---|---|---|---|---|---|---|</w:t>
      </w:r>
    </w:p>
    <w:p>
      <w:pPr>
        <w:pStyle w:val="IntenseQuote"/>
      </w:pPr>
      <w:r>
        <w:t>| baseline | IS | 5 | 3 | 18 | 7 | -184 |</w:t>
      </w:r>
    </w:p>
    <w:p>
      <w:pPr>
        <w:pStyle w:val="IntenseQuote"/>
      </w:pPr>
      <w:r>
        <w:t>| baseline | DEV | 4 | 4 | 11 | 7 | 203447 |</w:t>
      </w:r>
    </w:p>
    <w:p>
      <w:pPr>
        <w:pStyle w:val="IntenseQuote"/>
      </w:pPr>
      <w:r>
        <w:t>| A_keltner_off | IS | 5 | 3 | 18 | 7 | -736 |</w:t>
      </w:r>
    </w:p>
    <w:p>
      <w:pPr>
        <w:pStyle w:val="IntenseQuote"/>
      </w:pPr>
      <w:r>
        <w:t>| A_keltner_off | DEV | 4 | 4 | 11 | 7 | 203447 |</w:t>
      </w:r>
    </w:p>
    <w:p>
      <w:pPr>
        <w:pStyle w:val="IntenseQuote"/>
      </w:pPr>
      <w:r>
        <w:t>| B_block_reentry | IS | 3 | 1 | 0 | 0 | -9757 |</w:t>
      </w:r>
    </w:p>
    <w:p>
      <w:pPr>
        <w:pStyle w:val="IntenseQuote"/>
      </w:pPr>
      <w:r>
        <w:t>| B_block_reentry | DEV | 1 | 1 | 0 | 0 | 32242 |</w:t>
      </w:r>
    </w:p>
    <w:p>
      <w:pPr>
        <w:pStyle w:val="Heading1"/>
      </w:pPr>
      <w:r>
        <w:t>反事实（诊断，非组合收益）</w:t>
      </w:r>
    </w:p>
    <w:p>
      <w:r>
        <w:t>配对 401 对；Σ基线 507790 元 vs Σ反事实 499053 元，差 -8737 元。缺失 9 笔（IS 8 / DEV 1 与核验一致），原因：A 变体资金路径不同导致同键入场未发生；配对键 (证券, 入场日)，不按盈亏选择性剔除。</w:t>
      </w:r>
    </w:p>
    <w:p>
      <w:r>
        <w:t>结论限定：反事实仅描述已配对样本，不代表全部基线交易。</w:t>
      </w:r>
    </w:p>
    <w:p>
      <w:pPr>
        <w:pStyle w:val="Heading1"/>
      </w:pPr>
      <w:r>
        <w:t>Gate（预注册冻结规则，DEV 窗口）: A_keltner_off → REJECT</w:t>
      </w:r>
    </w:p>
    <w:p>
      <w:pPr>
        <w:pStyle w:val="ListBullet"/>
      </w:pPr>
      <w:r>
        <w:t>Sharpe 3.13 &lt; 基线 3.16</w:t>
      </w:r>
    </w:p>
    <w:p>
      <w:pPr>
        <w:pStyle w:val="Heading1"/>
      </w:pPr>
      <w:r>
        <w:t>Gate（预注册冻结规则，DEV 窗口）: B_block_reentry → REJECT</w:t>
      </w:r>
    </w:p>
    <w:p>
      <w:pPr>
        <w:pStyle w:val="ListBullet"/>
      </w:pPr>
      <w:r>
        <w:t>DEV 净累计 20.68% 未优于基线 54.99%</w:t>
      </w:r>
    </w:p>
    <w:p>
      <w:pPr>
        <w:pStyle w:val="ListBullet"/>
      </w:pPr>
      <w:r>
        <w:t>Sharpe 1.92 &lt; 基线 3.16</w:t>
      </w:r>
    </w:p>
    <w:p>
      <w:pPr>
        <w:pStyle w:val="ListBullet"/>
      </w:pPr>
      <w:r>
        <w:t>滚动窗口正收益占比 0% &lt; 2/3</w:t>
      </w:r>
    </w:p>
    <w:p>
      <w:pPr>
        <w:pStyle w:val="Heading1"/>
      </w:pPr>
      <w:r>
        <w:t>Gate（预注册冻结规则，DEV 窗口）: H3_maxhold8 → REJECT</w:t>
      </w:r>
    </w:p>
    <w:p>
      <w:pPr>
        <w:pStyle w:val="ListBullet"/>
      </w:pPr>
      <w:r>
        <w:t>DEV 净累计 22.64% 未优于基线 54.99%</w:t>
      </w:r>
    </w:p>
    <w:p>
      <w:pPr>
        <w:pStyle w:val="ListBullet"/>
      </w:pPr>
      <w:r>
        <w:t>Sharpe 1.77 &lt; 基线 3.16</w:t>
      </w:r>
    </w:p>
    <w:p>
      <w:pPr>
        <w:pStyle w:val="ListBullet"/>
      </w:pPr>
      <w:r>
        <w:t>滚动窗口正收益占比 0% &lt; 2/3</w:t>
      </w:r>
    </w:p>
    <w:p>
      <w:pPr>
        <w:pStyle w:val="Heading1"/>
      </w:pPr>
      <w:r>
        <w:t>Gate（预注册冻结规则，DEV 窗口）: H3_maxhold12 → REJECT</w:t>
      </w:r>
    </w:p>
    <w:p>
      <w:pPr>
        <w:pStyle w:val="ListBullet"/>
      </w:pPr>
      <w:r>
        <w:t>DEV 净累计 43.79% 未优于基线 54.99%</w:t>
      </w:r>
    </w:p>
    <w:p>
      <w:pPr>
        <w:pStyle w:val="ListBullet"/>
      </w:pPr>
      <w:r>
        <w:t>Sharpe 2.56 &lt; 基线 3.16</w:t>
      </w:r>
    </w:p>
    <w:p>
      <w:pPr>
        <w:pStyle w:val="ListBullet"/>
      </w:pPr>
      <w:r>
        <w:t>滚动窗口正收益占比 25% &lt; 2/3</w:t>
      </w:r>
    </w:p>
    <w:p>
      <w:pPr>
        <w:pStyle w:val="Heading1"/>
      </w:pPr>
      <w:r>
        <w:t>H3 敏感性说明</w:t>
      </w:r>
    </w:p>
    <w:p>
      <w:r>
        <w:t>max_hold 8/12 为有限敏感性检查，检验 10 天持有期限是否稳健；短持亏损/长持盈利的归因可能来自退出规则对交易的分类，不能单独证明延长持有有利。若两档均不通过预注册门槛，停止扩展持有期网格。</w:t>
      </w:r>
    </w:p>
    <w:p>
      <w:r>
        <w:t>预算台账: /Volumes/项目空间/projects/quant-paper/quant_agent/var/budget_ledger.jsonl（本批追加 H3 两变体；A/B 复跑不计新试验）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