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批次八总报告：候选数据集 + 二次评分 + 实验 E1-E6（constitution_008）</w:t>
      </w:r>
    </w:p>
    <w:p>
      <w:pPr>
        <w:pStyle w:val="Heading1"/>
      </w:pPr>
      <w:r>
        <w:t>执行摘要</w:t>
      </w:r>
    </w:p>
    <w:p>
      <w:pPr>
        <w:pStyle w:val="IntenseQuote"/>
      </w:pPr>
      <w:r>
        <w:t>| 实验 | 配置 | DEV 净累计 | DEV Sharpe | IS 净累计 | 结论 |</w:t>
      </w:r>
    </w:p>
    <w:p>
      <w:pPr>
        <w:pStyle w:val="IntenseQuote"/>
      </w:pPr>
      <w:r>
        <w:t>|---|---|---|---|---|---|</w:t>
      </w:r>
    </w:p>
    <w:p>
      <w:pPr>
        <w:pStyle w:val="IntenseQuote"/>
      </w:pPr>
      <w:r>
        <w:t>| 基线（冻结） | baseline_006 | +55.0% | 3.16 | -5.4% | 保留 |</w:t>
      </w:r>
    </w:p>
    <w:p>
      <w:pPr>
        <w:pStyle w:val="IntenseQuote"/>
      </w:pPr>
      <w:r>
        <w:t>| E1 单股上限20% | per_stock_cap=0.20 | +41.8% | 2.76 | -7.7% | REJECT |</w:t>
      </w:r>
    </w:p>
    <w:p>
      <w:pPr>
        <w:pStyle w:val="IntenseQuote"/>
      </w:pPr>
      <w:r>
        <w:t>| E2 ridge重排序 | 意图按预测分降序 | +53.0% | 3.12 | -4.4% | REJECT |</w:t>
      </w:r>
    </w:p>
    <w:p>
      <w:pPr>
        <w:pStyle w:val="IntenseQuote"/>
      </w:pPr>
      <w:r>
        <w:t>| E3 cart重排序 | 意图按预测分降序 | +54.7% | 3.15 | -5.4% | REJECT |</w:t>
      </w:r>
    </w:p>
    <w:p>
      <w:pPr>
        <w:pStyle w:val="IntenseQuote"/>
      </w:pPr>
      <w:r>
        <w:t>| E4 分档1:2:3 | 条件：评分跨期有效 | 未执行 | — | — | 条件不满足 |</w:t>
      </w:r>
    </w:p>
    <w:p>
      <w:pPr>
        <w:pStyle w:val="IntenseQuote"/>
      </w:pPr>
      <w:r>
        <w:t>| E5 日闸消融 | filt=R316_FLR_off | +75.0% | 3.31 | -26.2% | 跨期不一致，不晋级 |</w:t>
      </w:r>
    </w:p>
    <w:p>
      <w:pPr>
        <w:pStyle w:val="IntenseQuote"/>
      </w:pPr>
      <w:r>
        <w:t>| E6 扩大股票池 | 需历史成分数据 | BLOCKED | — | — | 数据不足 |</w:t>
      </w:r>
    </w:p>
    <w:p>
      <w:r>
        <w:t>**最终回答（任务书第六部分）**：没有任何改动增加可重复的收益，无候选</w:t>
      </w:r>
    </w:p>
    <w:p>
      <w:r>
        <w:t>进入前瞻验证，保留冻结基线。</w:t>
      </w:r>
    </w:p>
    <w:p>
      <w:pPr>
        <w:pStyle w:val="ListBullet"/>
      </w:pPr>
      <w:r>
        <w:t>E1 的代价：砍掉同股金字塔利润（与第一轮 block_reentry 证据一致，</w:t>
      </w:r>
    </w:p>
    <w:p>
      <w:r>
        <w:t xml:space="preserve">  DEV -13.2pp），风控收益（回撤 -9.6→-10.3 反而略差）不抵收益损失。</w:t>
      </w:r>
    </w:p>
    <w:p>
      <w:pPr>
        <w:pStyle w:val="ListBullet"/>
      </w:pPr>
      <w:r>
        <w:t>E2/E3：评分在 IS 内部勉强单调（折均值 0.54）但跨期失效（IS→DEV</w:t>
      </w:r>
    </w:p>
    <w:p>
      <w:r>
        <w:t xml:space="preserve">  单调 0.25、Spearman IC -0.14/-0.19），重排序效应接近零</w:t>
      </w:r>
    </w:p>
    <w:p>
      <w:r>
        <w:t xml:space="preserve">  （DEV -2.0pp / -0.3pp），属噪声级。</w:t>
      </w:r>
    </w:p>
    <w:p>
      <w:pPr>
        <w:pStyle w:val="ListBullet"/>
      </w:pPr>
      <w:r>
        <w:t>E5：日闸是状态依赖的保护——DEV 放松增益 +20pp、Sharpe 3.31，但 IS</w:t>
      </w:r>
    </w:p>
    <w:p>
      <w:r>
        <w:t xml:space="preserve">  恶化 -21pp、回撤 -19.7%→-40.9%。跨期不一致，按"优势需跨时期成立"</w:t>
      </w:r>
    </w:p>
    <w:p>
      <w:r>
        <w:t xml:space="preserve">  不晋级。E5 同时回答了"收益是否受机会范围限制"：机会并不少（日闸</w:t>
      </w:r>
    </w:p>
    <w:p>
      <w:r>
        <w:t xml:space="preserve">  拦截 IS 71%/DEV 44% 交易日），无闸时新增交易 IS 段大额亏损，</w:t>
      </w:r>
    </w:p>
    <w:p>
      <w:r>
        <w:t xml:space="preserve">  说明瓶颈是信号质量而非机会数量。</w:t>
      </w:r>
    </w:p>
    <w:p>
      <w:pPr>
        <w:pStyle w:val="ListBullet"/>
      </w:pPr>
      <w:r>
        <w:t>E6：扩大覆盖需要历史时点成分数据，库内仅有 189 只定型池 PIT 宇宙，</w:t>
      </w:r>
    </w:p>
    <w:p>
      <w:r>
        <w:t xml:space="preserve">  标记 BLOCKED，不以当前成分替代。</w:t>
      </w:r>
    </w:p>
    <w:p>
      <w:pPr>
        <w:pStyle w:val="Heading1"/>
      </w:pPr>
      <w:r>
        <w:t>一、冻结对照组</w:t>
      </w:r>
    </w:p>
    <w:p>
      <w:r>
        <w:t>constitution_008 冻结 baseline_006（= baseline_005 语义，10 日持有，</w:t>
      </w:r>
    </w:p>
    <w:p>
      <w:r>
        <w:t>入场/退出/成本/撮合全部冻结）；冻结清单 154 个代码/配置文件 sha256</w:t>
      </w:r>
    </w:p>
    <w:p>
      <w:r>
        <w:t>（var/freeze_round3/freeze_manifest.json）；数据快照 v5</w:t>
      </w:r>
    </w:p>
    <w:p>
      <w:r>
        <w:t>fe312f298f159972。此后不再测试其他持有期。</w:t>
      </w:r>
    </w:p>
    <w:p>
      <w:pPr>
        <w:pStyle w:val="Heading1"/>
      </w:pPr>
      <w:r>
        <w:t>二、候选信号数据集</w:t>
      </w:r>
    </w:p>
    <w:p>
      <w:r>
        <w:t>两窗口全量候选 IS 2027 条 / DEV 1833 条（K 截断前的全部有限评分候选，</w:t>
      </w:r>
    </w:p>
    <w:p>
      <w:r>
        <w:t>而非仅成交样本）。每条含：信号日期、股票、策略评分与横截面排名、</w:t>
      </w:r>
    </w:p>
    <w:p>
      <w:r>
        <w:t>16 个因子原始值快照（t=信号日，下单前信息）、逐层过滤原因</w:t>
      </w:r>
    </w:p>
    <w:p>
      <w:r>
        <w:t>（not_topK/excluded/停牌/涨停/cap/reentry/intent）、是否到达执行器、</w:t>
      </w:r>
    </w:p>
    <w:p>
      <w:r>
        <w:t>成交/拒单及拒单细分、可执行日、扣费收益标签（开盘可成交价 +</w:t>
      </w:r>
    </w:p>
    <w:p>
      <w:r>
        <w:t>qengine.plan_exit 同一出场实现 + 买卖双边费用）。</w:t>
      </w:r>
    </w:p>
    <w:p>
      <w:pPr>
        <w:pStyle w:val="ListBullet"/>
      </w:pPr>
      <w:r>
        <w:t>标签交叉校验：282+128 笔实际成交的模拟标签与执行器成交逐笔一致</w:t>
      </w:r>
    </w:p>
    <w:p>
      <w:r>
        <w:t xml:space="preserve">  （0 偏差）。</w:t>
      </w:r>
    </w:p>
    <w:p>
      <w:pPr>
        <w:pStyle w:val="ListBullet"/>
      </w:pPr>
      <w:r>
        <w:t>可执行性：两窗口内全部候选均可执行（面板已预清洗），</w:t>
      </w:r>
    </w:p>
    <w:p>
      <w:r>
        <w:t xml:space="preserve">  价格缺失/退市路径已实现（price_nan 留空不按理想价成交）。</w:t>
      </w:r>
    </w:p>
    <w:p>
      <w:pPr>
        <w:pStyle w:val="ListBullet"/>
      </w:pPr>
      <w:r>
        <w:t>相对行业强弱特征：数据面无行业分类，按宪法标记阻塞，未伪造。</w:t>
      </w:r>
    </w:p>
    <w:p>
      <w:pPr>
        <w:pStyle w:val="Heading1"/>
      </w:pPr>
      <w:r>
        <w:t>三、二次评分</w:t>
      </w:r>
    </w:p>
    <w:p>
      <w:r>
        <w:t>v1 ridge（λ=1 闭式解）/ v2 CART（depth4, leaf50，确定性分裂），</w:t>
      </w:r>
    </w:p>
    <w:p>
      <w:r>
        <w:t>纯 numpy。滚动按月训练（训练≥6 月、验证随后 2 月、步长 2，</w:t>
      </w:r>
    </w:p>
    <w:p>
      <w:r>
        <w:t>共 6 折），预处理只在训练集拟合。</w:t>
      </w:r>
    </w:p>
    <w:p>
      <w:pPr>
        <w:pStyle w:val="ListBullet"/>
      </w:pPr>
      <w:r>
        <w:t>IS 内部：两模型 6 折单调占比均值均 0.54（勉强过半），IC 折间</w:t>
      </w:r>
    </w:p>
    <w:p>
      <w:r>
        <w:t xml:space="preserve">  符号不稳定（-0.15 ~ +0.36）。</w:t>
      </w:r>
    </w:p>
    <w:p>
      <w:pPr>
        <w:pStyle w:val="ListBullet"/>
      </w:pPr>
      <w:r>
        <w:t>IS→DEV 跨期：单调 0.25（5 组净收益 [5.0, 6.9, 5.8, 4.1, 1.9]%</w:t>
      </w:r>
    </w:p>
    <w:p>
      <w:r>
        <w:t xml:space="preserve">  非单调），IC -0.14 / -0.19。</w:t>
      </w:r>
    </w:p>
    <w:p>
      <w:pPr>
        <w:pStyle w:val="ListBullet"/>
      </w:pPr>
      <w:r>
        <w:t>**判定：跨期无效 → E4（分档仓位）按任务书停止，未执行。**</w:t>
      </w:r>
    </w:p>
    <w:p>
      <w:pPr>
        <w:pStyle w:val="Heading1"/>
      </w:pPr>
      <w:r>
        <w:t>四、实验产物（每实验齐全）</w:t>
      </w:r>
    </w:p>
    <w:p>
      <w:r>
        <w:t>配置 config_&lt;e&gt;.json、逐日账户 account_&lt;e&gt;_&lt;窗口&gt;.csv、逐笔成交</w:t>
      </w:r>
    </w:p>
    <w:p>
      <w:r>
        <w:t>fills_&lt;e&gt;_&lt;窗口&gt;.csv、单股逐日合计仓位 pos_daily_&lt;e&gt;_&lt;窗口&gt;.csv、</w:t>
      </w:r>
    </w:p>
    <w:p>
      <w:r>
        <w:t>月度四分列 monthly_&lt;e&gt;_&lt;窗口&gt;.csv（月收益率/期初权益/期末权益/</w:t>
      </w:r>
    </w:p>
    <w:p>
      <w:r>
        <w:t>权益变化/已实现盈亏）、比较表 comparison.csv。</w:t>
      </w:r>
    </w:p>
    <w:p>
      <w:r>
        <w:t>附加检验：成本×2 压力（baseline DEV 54.4%，费用敏感性低）；</w:t>
      </w:r>
    </w:p>
    <w:p>
      <w:r>
        <w:t>剔除 DEV 最大盈利股后 baseline 55.0%→34.6%（集中度风险如实披露，</w:t>
      </w:r>
    </w:p>
    <w:p>
      <w:r>
        <w:t>E1/E2/E3 同口径均下降约 20pp）。</w:t>
      </w:r>
    </w:p>
    <w:p>
      <w:pPr>
        <w:pStyle w:val="Heading1"/>
      </w:pPr>
      <w:r>
        <w:t>五、预算台账</w:t>
      </w:r>
    </w:p>
    <w:p>
      <w:r>
        <w:t>本批登记：E1、E2、E3、E5 四个变体试验 + E6 阻塞记录</w:t>
      </w:r>
    </w:p>
    <w:p>
      <w:r>
        <w:t>（budget_ledger.jsonl）。A/B 复跑与诊断不计新试验。</w:t>
      </w:r>
    </w:p>
    <w:p>
      <w:pPr>
        <w:pStyle w:val="Heading1"/>
      </w:pPr>
      <w:r>
        <w:t>六、局限与下一步建议</w:t>
      </w:r>
    </w:p>
    <w:p>
      <w:r>
        <w:t>1. DEV 仅 6 个月且 90% 利润集中两月、37% 单票——所有 DEV 侧</w:t>
      </w:r>
    </w:p>
    <w:p>
      <w:r>
        <w:t xml:space="preserve">   数字均为开发证据，不构成独立样本外。</w:t>
      </w:r>
    </w:p>
    <w:p>
      <w:r>
        <w:t>2. 无完整 12 个月窗口达标（滚动 252 日 183 窗：-17.3% ~ +21.3%，</w:t>
      </w:r>
    </w:p>
    <w:p>
      <w:r>
        <w:t xml:space="preserve">   零窗 ≥100%）；100% 目标当前**证据不足**。</w:t>
      </w:r>
    </w:p>
    <w:p>
      <w:r>
        <w:t>3. 评分跨期失效提示标签分布随 regime 漂移；下一步优先方向（按任务书</w:t>
      </w:r>
    </w:p>
    <w:p>
      <w:r>
        <w:t xml:space="preserve">   "评分无效则优先研究入场条件和股票池"）：入场条件的状态依赖化</w:t>
      </w:r>
    </w:p>
    <w:p>
      <w:r>
        <w:t xml:space="preserve">   （E5 显示日闸在趋势市过严、在震荡市有效——按事前可见指标定义</w:t>
      </w:r>
    </w:p>
    <w:p>
      <w:r>
        <w:t xml:space="preserve">   状态再决策，而非整体开关）。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