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C2720B" w14:textId="77777777" w:rsidR="001D0E7A" w:rsidRDefault="00000000">
      <w:pPr>
        <w:jc w:val="both"/>
        <w:rPr>
          <w:b/>
          <w:sz w:val="24"/>
          <w:szCs w:val="24"/>
        </w:rPr>
      </w:pPr>
      <w:r>
        <w:rPr>
          <w:b/>
          <w:noProof/>
          <w:sz w:val="24"/>
          <w:szCs w:val="24"/>
        </w:rPr>
        <w:drawing>
          <wp:anchor distT="0" distB="0" distL="0" distR="0" simplePos="0" relativeHeight="251658240" behindDoc="1" locked="0" layoutInCell="1" hidden="0" allowOverlap="1" wp14:anchorId="6AA8CA3A" wp14:editId="1B4D2DD5">
            <wp:simplePos x="0" y="0"/>
            <wp:positionH relativeFrom="page">
              <wp:align>right</wp:align>
            </wp:positionH>
            <wp:positionV relativeFrom="page">
              <wp:align>top</wp:align>
            </wp:positionV>
            <wp:extent cx="7570952" cy="10692977"/>
            <wp:effectExtent l="0" t="0" r="0" b="0"/>
            <wp:wrapNone/>
            <wp:docPr id="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8"/>
                    <a:srcRect/>
                    <a:stretch>
                      <a:fillRect/>
                    </a:stretch>
                  </pic:blipFill>
                  <pic:spPr>
                    <a:xfrm>
                      <a:off x="0" y="0"/>
                      <a:ext cx="7570952" cy="10692977"/>
                    </a:xfrm>
                    <a:prstGeom prst="rect">
                      <a:avLst/>
                    </a:prstGeom>
                    <a:ln/>
                  </pic:spPr>
                </pic:pic>
              </a:graphicData>
            </a:graphic>
            <wp14:sizeRelH relativeFrom="margin">
              <wp14:pctWidth>0</wp14:pctWidth>
            </wp14:sizeRelH>
            <wp14:sizeRelV relativeFrom="margin">
              <wp14:pctHeight>0</wp14:pctHeight>
            </wp14:sizeRelV>
          </wp:anchor>
        </w:drawing>
      </w:r>
    </w:p>
    <w:p w14:paraId="769DDF7E" w14:textId="77777777" w:rsidR="001D0E7A" w:rsidRDefault="00000000">
      <w:pPr>
        <w:jc w:val="both"/>
        <w:rPr>
          <w:rFonts w:ascii="Tahoma" w:eastAsia="Tahoma" w:hAnsi="Tahoma" w:cs="Tahoma"/>
          <w:b/>
          <w:color w:val="002060"/>
          <w:sz w:val="40"/>
          <w:szCs w:val="40"/>
        </w:rPr>
      </w:pPr>
      <w:r>
        <w:rPr>
          <w:noProof/>
        </w:rPr>
        <w:drawing>
          <wp:anchor distT="45720" distB="45720" distL="114300" distR="114300" simplePos="0" relativeHeight="251659264" behindDoc="0" locked="0" layoutInCell="1" hidden="0" allowOverlap="1" wp14:anchorId="3815E213" wp14:editId="3A8EBA03">
            <wp:simplePos x="0" y="0"/>
            <wp:positionH relativeFrom="column">
              <wp:posOffset>1809750</wp:posOffset>
            </wp:positionH>
            <wp:positionV relativeFrom="paragraph">
              <wp:posOffset>245745</wp:posOffset>
            </wp:positionV>
            <wp:extent cx="1514475" cy="1266825"/>
            <wp:effectExtent l="0" t="0" r="0" b="0"/>
            <wp:wrapSquare wrapText="bothSides" distT="45720" distB="45720" distL="114300" distR="11430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1514475" cy="1266825"/>
                    </a:xfrm>
                    <a:prstGeom prst="rect">
                      <a:avLst/>
                    </a:prstGeom>
                    <a:ln/>
                  </pic:spPr>
                </pic:pic>
              </a:graphicData>
            </a:graphic>
          </wp:anchor>
        </w:drawing>
      </w:r>
      <w:r>
        <w:rPr>
          <w:noProof/>
        </w:rPr>
        <w:drawing>
          <wp:anchor distT="45720" distB="45720" distL="114300" distR="114300" simplePos="0" relativeHeight="251660288" behindDoc="0" locked="0" layoutInCell="1" hidden="0" allowOverlap="1" wp14:anchorId="1082C708" wp14:editId="041A2B64">
            <wp:simplePos x="0" y="0"/>
            <wp:positionH relativeFrom="column">
              <wp:posOffset>200025</wp:posOffset>
            </wp:positionH>
            <wp:positionV relativeFrom="paragraph">
              <wp:posOffset>245150</wp:posOffset>
            </wp:positionV>
            <wp:extent cx="1514475" cy="1266825"/>
            <wp:effectExtent l="0" t="0" r="0" b="0"/>
            <wp:wrapSquare wrapText="bothSides" distT="45720" distB="45720" distL="114300" distR="11430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514475" cy="1266825"/>
                    </a:xfrm>
                    <a:prstGeom prst="rect">
                      <a:avLst/>
                    </a:prstGeom>
                    <a:ln/>
                  </pic:spPr>
                </pic:pic>
              </a:graphicData>
            </a:graphic>
          </wp:anchor>
        </w:drawing>
      </w:r>
    </w:p>
    <w:p w14:paraId="2193DA43" w14:textId="77777777" w:rsidR="001D0E7A" w:rsidRDefault="001D0E7A">
      <w:pPr>
        <w:jc w:val="both"/>
        <w:rPr>
          <w:rFonts w:ascii="Tahoma" w:eastAsia="Tahoma" w:hAnsi="Tahoma" w:cs="Tahoma"/>
          <w:b/>
          <w:color w:val="002060"/>
          <w:sz w:val="40"/>
          <w:szCs w:val="40"/>
        </w:rPr>
      </w:pPr>
    </w:p>
    <w:p w14:paraId="40290EFC" w14:textId="77777777" w:rsidR="001D0E7A" w:rsidRDefault="001D0E7A">
      <w:pPr>
        <w:jc w:val="both"/>
        <w:rPr>
          <w:rFonts w:ascii="Tahoma" w:eastAsia="Tahoma" w:hAnsi="Tahoma" w:cs="Tahoma"/>
          <w:b/>
          <w:color w:val="002060"/>
          <w:sz w:val="40"/>
          <w:szCs w:val="40"/>
        </w:rPr>
      </w:pPr>
    </w:p>
    <w:p w14:paraId="0230C0CD" w14:textId="77777777" w:rsidR="001D0E7A" w:rsidRDefault="001D0E7A">
      <w:pPr>
        <w:jc w:val="both"/>
        <w:rPr>
          <w:rFonts w:ascii="Tahoma" w:eastAsia="Tahoma" w:hAnsi="Tahoma" w:cs="Tahoma"/>
          <w:b/>
          <w:color w:val="002060"/>
          <w:sz w:val="40"/>
          <w:szCs w:val="40"/>
        </w:rPr>
      </w:pPr>
    </w:p>
    <w:p w14:paraId="2361377D" w14:textId="77777777" w:rsidR="001D0E7A" w:rsidRDefault="001D0E7A">
      <w:pPr>
        <w:jc w:val="both"/>
        <w:rPr>
          <w:rFonts w:ascii="Tahoma" w:eastAsia="Tahoma" w:hAnsi="Tahoma" w:cs="Tahoma"/>
          <w:b/>
          <w:color w:val="002060"/>
          <w:sz w:val="40"/>
          <w:szCs w:val="40"/>
        </w:rPr>
      </w:pPr>
    </w:p>
    <w:p w14:paraId="639A8709" w14:textId="77777777" w:rsidR="001D0E7A" w:rsidRDefault="001D0E7A">
      <w:pPr>
        <w:jc w:val="both"/>
        <w:rPr>
          <w:rFonts w:ascii="Tahoma" w:eastAsia="Tahoma" w:hAnsi="Tahoma" w:cs="Tahoma"/>
          <w:b/>
          <w:color w:val="002060"/>
          <w:sz w:val="40"/>
          <w:szCs w:val="40"/>
        </w:rPr>
      </w:pPr>
    </w:p>
    <w:p w14:paraId="3A3B3FD5" w14:textId="77777777" w:rsidR="001D0E7A" w:rsidRDefault="00000000">
      <w:pPr>
        <w:jc w:val="both"/>
        <w:rPr>
          <w:rFonts w:ascii="Tahoma" w:eastAsia="Tahoma" w:hAnsi="Tahoma" w:cs="Tahoma"/>
          <w:b/>
          <w:color w:val="002060"/>
          <w:sz w:val="40"/>
          <w:szCs w:val="40"/>
        </w:rPr>
      </w:pPr>
      <w:r>
        <w:rPr>
          <w:rFonts w:ascii="Tahoma" w:eastAsia="Tahoma" w:hAnsi="Tahoma" w:cs="Tahoma"/>
          <w:b/>
          <w:color w:val="002060"/>
          <w:sz w:val="40"/>
          <w:szCs w:val="40"/>
        </w:rPr>
        <w:tab/>
      </w:r>
      <w:r>
        <w:rPr>
          <w:rFonts w:ascii="Tahoma" w:eastAsia="Tahoma" w:hAnsi="Tahoma" w:cs="Tahoma"/>
          <w:b/>
          <w:color w:val="002060"/>
          <w:sz w:val="40"/>
          <w:szCs w:val="40"/>
        </w:rPr>
        <w:tab/>
      </w:r>
    </w:p>
    <w:p w14:paraId="0E0CA6DF" w14:textId="77777777" w:rsidR="001D0E7A" w:rsidRDefault="00000000">
      <w:pPr>
        <w:jc w:val="both"/>
        <w:rPr>
          <w:rFonts w:ascii="Tahoma" w:eastAsia="Tahoma" w:hAnsi="Tahoma" w:cs="Tahoma"/>
          <w:b/>
          <w:color w:val="002060"/>
          <w:sz w:val="40"/>
          <w:szCs w:val="40"/>
        </w:rPr>
      </w:pPr>
      <w:r>
        <w:rPr>
          <w:rFonts w:ascii="Tahoma" w:eastAsia="Tahoma" w:hAnsi="Tahoma" w:cs="Tahoma"/>
          <w:b/>
          <w:color w:val="002060"/>
          <w:sz w:val="40"/>
          <w:szCs w:val="40"/>
        </w:rPr>
        <w:t>UNIVERSIDAD DE BUENOS AIRES – FCE</w:t>
      </w:r>
    </w:p>
    <w:p w14:paraId="166A8059" w14:textId="77777777" w:rsidR="001D0E7A" w:rsidRDefault="001D0E7A">
      <w:pPr>
        <w:widowControl w:val="0"/>
        <w:spacing w:line="240" w:lineRule="auto"/>
        <w:ind w:left="2426" w:right="2438"/>
        <w:jc w:val="center"/>
        <w:rPr>
          <w:rFonts w:ascii="Tahoma" w:eastAsia="Tahoma" w:hAnsi="Tahoma" w:cs="Tahoma"/>
          <w:sz w:val="40"/>
          <w:szCs w:val="40"/>
        </w:rPr>
      </w:pPr>
    </w:p>
    <w:p w14:paraId="0ECA86D0" w14:textId="77777777" w:rsidR="001D0E7A" w:rsidRDefault="001D0E7A">
      <w:pPr>
        <w:widowControl w:val="0"/>
        <w:spacing w:line="240" w:lineRule="auto"/>
        <w:ind w:left="2426" w:right="2438"/>
        <w:jc w:val="center"/>
        <w:rPr>
          <w:rFonts w:ascii="Tahoma" w:eastAsia="Tahoma" w:hAnsi="Tahoma" w:cs="Tahoma"/>
          <w:b/>
          <w:color w:val="002060"/>
          <w:sz w:val="40"/>
          <w:szCs w:val="40"/>
        </w:rPr>
      </w:pPr>
    </w:p>
    <w:p w14:paraId="0AA2A10C" w14:textId="77777777" w:rsidR="001D0E7A" w:rsidRDefault="00000000">
      <w:pPr>
        <w:widowControl w:val="0"/>
        <w:spacing w:line="240" w:lineRule="auto"/>
        <w:ind w:left="2426" w:right="2438"/>
        <w:jc w:val="center"/>
        <w:rPr>
          <w:rFonts w:ascii="Tahoma" w:eastAsia="Tahoma" w:hAnsi="Tahoma" w:cs="Tahoma"/>
          <w:b/>
          <w:i/>
          <w:color w:val="002060"/>
          <w:sz w:val="40"/>
          <w:szCs w:val="40"/>
        </w:rPr>
      </w:pPr>
      <w:r>
        <w:rPr>
          <w:rFonts w:ascii="Tahoma" w:eastAsia="Tahoma" w:hAnsi="Tahoma" w:cs="Tahoma"/>
          <w:b/>
          <w:i/>
          <w:color w:val="002060"/>
          <w:sz w:val="40"/>
          <w:szCs w:val="40"/>
        </w:rPr>
        <w:t>TALLER DE PROGRAMACIÓN</w:t>
      </w:r>
    </w:p>
    <w:p w14:paraId="1C0907C7" w14:textId="77777777" w:rsidR="001D0E7A" w:rsidRDefault="001D0E7A">
      <w:pPr>
        <w:widowControl w:val="0"/>
        <w:spacing w:line="240" w:lineRule="auto"/>
        <w:ind w:left="3239" w:right="3251"/>
        <w:jc w:val="center"/>
        <w:rPr>
          <w:rFonts w:ascii="Tahoma" w:eastAsia="Tahoma" w:hAnsi="Tahoma" w:cs="Tahoma"/>
          <w:b/>
          <w:sz w:val="28"/>
          <w:szCs w:val="28"/>
        </w:rPr>
      </w:pPr>
    </w:p>
    <w:p w14:paraId="217C1C89" w14:textId="77777777" w:rsidR="001D0E7A" w:rsidRDefault="001D0E7A">
      <w:pPr>
        <w:widowControl w:val="0"/>
        <w:spacing w:line="240" w:lineRule="auto"/>
        <w:jc w:val="center"/>
        <w:rPr>
          <w:rFonts w:ascii="Tahoma" w:eastAsia="Tahoma" w:hAnsi="Tahoma" w:cs="Tahoma"/>
          <w:b/>
          <w:color w:val="002060"/>
          <w:sz w:val="36"/>
          <w:szCs w:val="36"/>
        </w:rPr>
      </w:pPr>
    </w:p>
    <w:p w14:paraId="315F72EF" w14:textId="77777777" w:rsidR="001D0E7A" w:rsidRDefault="00000000">
      <w:pPr>
        <w:widowControl w:val="0"/>
        <w:spacing w:line="240" w:lineRule="auto"/>
        <w:jc w:val="center"/>
        <w:rPr>
          <w:rFonts w:ascii="Tahoma" w:eastAsia="Tahoma" w:hAnsi="Tahoma" w:cs="Tahoma"/>
          <w:b/>
          <w:color w:val="002060"/>
          <w:sz w:val="36"/>
          <w:szCs w:val="36"/>
        </w:rPr>
      </w:pPr>
      <w:r>
        <w:rPr>
          <w:rFonts w:ascii="Tahoma" w:eastAsia="Tahoma" w:hAnsi="Tahoma" w:cs="Tahoma"/>
          <w:b/>
          <w:color w:val="002060"/>
          <w:sz w:val="36"/>
          <w:szCs w:val="36"/>
        </w:rPr>
        <w:t>TP N°2 HISTOGRAMAS, KERNELS &amp; MÉTODOS NO SUPERVISADOS USANDO LA EPH</w:t>
      </w:r>
    </w:p>
    <w:p w14:paraId="35C91962" w14:textId="77777777" w:rsidR="001D0E7A" w:rsidRDefault="001D0E7A">
      <w:pPr>
        <w:widowControl w:val="0"/>
        <w:spacing w:line="240" w:lineRule="auto"/>
        <w:ind w:left="3239" w:right="3251"/>
        <w:jc w:val="center"/>
        <w:rPr>
          <w:rFonts w:ascii="Tahoma" w:eastAsia="Tahoma" w:hAnsi="Tahoma" w:cs="Tahoma"/>
          <w:b/>
          <w:sz w:val="28"/>
          <w:szCs w:val="28"/>
        </w:rPr>
      </w:pPr>
    </w:p>
    <w:p w14:paraId="7EDFA747" w14:textId="00D684E5" w:rsidR="001D0E7A" w:rsidRDefault="00F22B33">
      <w:pPr>
        <w:widowControl w:val="0"/>
        <w:spacing w:line="240" w:lineRule="auto"/>
        <w:ind w:left="3239" w:right="3251"/>
        <w:jc w:val="center"/>
        <w:rPr>
          <w:rFonts w:ascii="Tahoma" w:eastAsia="Tahoma" w:hAnsi="Tahoma" w:cs="Tahoma"/>
          <w:b/>
          <w:sz w:val="28"/>
          <w:szCs w:val="28"/>
        </w:rPr>
      </w:pPr>
      <w:r>
        <w:rPr>
          <w:noProof/>
        </w:rPr>
        <mc:AlternateContent>
          <mc:Choice Requires="wps">
            <w:drawing>
              <wp:anchor distT="45720" distB="45720" distL="114300" distR="114300" simplePos="0" relativeHeight="251661312" behindDoc="0" locked="0" layoutInCell="1" hidden="0" allowOverlap="1" wp14:anchorId="7AFF589E" wp14:editId="1E45171E">
                <wp:simplePos x="0" y="0"/>
                <wp:positionH relativeFrom="page">
                  <wp:align>right</wp:align>
                </wp:positionH>
                <wp:positionV relativeFrom="paragraph">
                  <wp:posOffset>295275</wp:posOffset>
                </wp:positionV>
                <wp:extent cx="5098415" cy="1411605"/>
                <wp:effectExtent l="0" t="0" r="6985" b="0"/>
                <wp:wrapSquare wrapText="bothSides" distT="45720" distB="45720" distL="114300" distR="114300"/>
                <wp:docPr id="1" name="Rectángulo 1"/>
                <wp:cNvGraphicFramePr/>
                <a:graphic xmlns:a="http://schemas.openxmlformats.org/drawingml/2006/main">
                  <a:graphicData uri="http://schemas.microsoft.com/office/word/2010/wordprocessingShape">
                    <wps:wsp>
                      <wps:cNvSpPr/>
                      <wps:spPr>
                        <a:xfrm>
                          <a:off x="0" y="0"/>
                          <a:ext cx="5098415" cy="1411605"/>
                        </a:xfrm>
                        <a:prstGeom prst="rect">
                          <a:avLst/>
                        </a:prstGeom>
                        <a:solidFill>
                          <a:srgbClr val="FFFFFF"/>
                        </a:solidFill>
                        <a:ln>
                          <a:noFill/>
                        </a:ln>
                      </wps:spPr>
                      <wps:txbx>
                        <w:txbxContent>
                          <w:p w14:paraId="43B3A9E5" w14:textId="77777777" w:rsidR="001D0E7A" w:rsidRDefault="00000000">
                            <w:pPr>
                              <w:spacing w:line="240" w:lineRule="auto"/>
                              <w:ind w:right="1993"/>
                              <w:textDirection w:val="btLr"/>
                            </w:pPr>
                            <w:r>
                              <w:rPr>
                                <w:rFonts w:ascii="Tahoma" w:eastAsia="Tahoma" w:hAnsi="Tahoma" w:cs="Tahoma"/>
                                <w:b/>
                                <w:color w:val="002060"/>
                                <w:sz w:val="32"/>
                              </w:rPr>
                              <w:t>PROFESORA:  María Noelia Romero</w:t>
                            </w:r>
                          </w:p>
                          <w:p w14:paraId="5E898B9C" w14:textId="77777777" w:rsidR="001D0E7A" w:rsidRDefault="001D0E7A">
                            <w:pPr>
                              <w:spacing w:line="240" w:lineRule="auto"/>
                              <w:ind w:right="1993"/>
                              <w:textDirection w:val="btLr"/>
                            </w:pPr>
                          </w:p>
                          <w:p w14:paraId="5DBDBC35" w14:textId="77777777" w:rsidR="001D0E7A" w:rsidRDefault="001D0E7A">
                            <w:pPr>
                              <w:spacing w:line="240" w:lineRule="auto"/>
                              <w:ind w:right="1993"/>
                              <w:textDirection w:val="btLr"/>
                            </w:pPr>
                          </w:p>
                          <w:p w14:paraId="52EA239B" w14:textId="77777777" w:rsidR="001D0E7A" w:rsidRDefault="00000000">
                            <w:pPr>
                              <w:spacing w:line="240" w:lineRule="auto"/>
                              <w:ind w:right="1993"/>
                              <w:textDirection w:val="btLr"/>
                            </w:pPr>
                            <w:r>
                              <w:rPr>
                                <w:rFonts w:ascii="Tahoma" w:eastAsia="Tahoma" w:hAnsi="Tahoma" w:cs="Tahoma"/>
                                <w:b/>
                                <w:color w:val="002060"/>
                                <w:sz w:val="32"/>
                              </w:rPr>
                              <w:t xml:space="preserve">Alumnos: Bergant, Agustín Rivas </w:t>
                            </w:r>
                          </w:p>
                          <w:p w14:paraId="7B64CFCA" w14:textId="77777777" w:rsidR="001D0E7A" w:rsidRDefault="00000000">
                            <w:pPr>
                              <w:spacing w:line="240" w:lineRule="auto"/>
                              <w:ind w:right="1993"/>
                              <w:textDirection w:val="btLr"/>
                            </w:pPr>
                            <w:r>
                              <w:rPr>
                                <w:rFonts w:ascii="Tahoma" w:eastAsia="Tahoma" w:hAnsi="Tahoma" w:cs="Tahoma"/>
                                <w:b/>
                                <w:color w:val="002060"/>
                                <w:sz w:val="32"/>
                              </w:rPr>
                              <w:tab/>
                            </w:r>
                            <w:r>
                              <w:rPr>
                                <w:rFonts w:ascii="Tahoma" w:eastAsia="Tahoma" w:hAnsi="Tahoma" w:cs="Tahoma"/>
                                <w:b/>
                                <w:color w:val="002060"/>
                                <w:sz w:val="32"/>
                              </w:rPr>
                              <w:tab/>
                              <w:t xml:space="preserve">  Cabrera, Juan</w:t>
                            </w:r>
                          </w:p>
                          <w:p w14:paraId="65847A75" w14:textId="77777777" w:rsidR="001D0E7A" w:rsidRDefault="00000000">
                            <w:pPr>
                              <w:spacing w:line="240" w:lineRule="auto"/>
                              <w:ind w:right="1993"/>
                              <w:textDirection w:val="btLr"/>
                            </w:pPr>
                            <w:r>
                              <w:rPr>
                                <w:rFonts w:ascii="Tahoma" w:eastAsia="Tahoma" w:hAnsi="Tahoma" w:cs="Tahoma"/>
                                <w:b/>
                                <w:color w:val="002060"/>
                                <w:sz w:val="32"/>
                              </w:rPr>
                              <w:tab/>
                            </w:r>
                            <w:r>
                              <w:rPr>
                                <w:rFonts w:ascii="Tahoma" w:eastAsia="Tahoma" w:hAnsi="Tahoma" w:cs="Tahoma"/>
                                <w:b/>
                                <w:color w:val="002060"/>
                                <w:sz w:val="32"/>
                              </w:rPr>
                              <w:tab/>
                              <w:t xml:space="preserve">  Leiva, Francisco</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AFF589E" id="Rectángulo 1" o:spid="_x0000_s1026" style="position:absolute;left:0;text-align:left;margin-left:350.25pt;margin-top:23.25pt;width:401.45pt;height:111.15pt;z-index:25166131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" stroked="f">
                <v:textbox inset="2.53958mm,1.2694mm,2.53958mm,1.2694mm">
                  <w:txbxContent>
                    <w:p w14:paraId="43B3A9E5" w14:textId="77777777" w:rsidR="001D0E7A" w:rsidRDefault="00000000">
                      <w:pPr>
                        <w:spacing w:line="240" w:lineRule="auto"/>
                        <w:ind w:right="1993"/>
                        <w:textDirection w:val="btLr"/>
                      </w:pPr>
                      <w:r>
                        <w:rPr>
                          <w:rFonts w:ascii="Tahoma" w:eastAsia="Tahoma" w:hAnsi="Tahoma" w:cs="Tahoma"/>
                          <w:b/>
                          <w:color w:val="002060"/>
                          <w:sz w:val="32"/>
                        </w:rPr>
                        <w:t>PROFESORA:  María Noelia Romero</w:t>
                      </w:r>
                    </w:p>
                    <w:p w14:paraId="5E898B9C" w14:textId="77777777" w:rsidR="001D0E7A" w:rsidRDefault="001D0E7A">
                      <w:pPr>
                        <w:spacing w:line="240" w:lineRule="auto"/>
                        <w:ind w:right="1993"/>
                        <w:textDirection w:val="btLr"/>
                      </w:pPr>
                    </w:p>
                    <w:p w14:paraId="5DBDBC35" w14:textId="77777777" w:rsidR="001D0E7A" w:rsidRDefault="001D0E7A">
                      <w:pPr>
                        <w:spacing w:line="240" w:lineRule="auto"/>
                        <w:ind w:right="1993"/>
                        <w:textDirection w:val="btLr"/>
                      </w:pPr>
                    </w:p>
                    <w:p w14:paraId="52EA239B" w14:textId="77777777" w:rsidR="001D0E7A" w:rsidRDefault="00000000">
                      <w:pPr>
                        <w:spacing w:line="240" w:lineRule="auto"/>
                        <w:ind w:right="1993"/>
                        <w:textDirection w:val="btLr"/>
                      </w:pPr>
                      <w:r>
                        <w:rPr>
                          <w:rFonts w:ascii="Tahoma" w:eastAsia="Tahoma" w:hAnsi="Tahoma" w:cs="Tahoma"/>
                          <w:b/>
                          <w:color w:val="002060"/>
                          <w:sz w:val="32"/>
                        </w:rPr>
                        <w:t xml:space="preserve">Alumnos: Bergant, Agustín Rivas </w:t>
                      </w:r>
                    </w:p>
                    <w:p w14:paraId="7B64CFCA" w14:textId="77777777" w:rsidR="001D0E7A" w:rsidRDefault="00000000">
                      <w:pPr>
                        <w:spacing w:line="240" w:lineRule="auto"/>
                        <w:ind w:right="1993"/>
                        <w:textDirection w:val="btLr"/>
                      </w:pPr>
                      <w:r>
                        <w:rPr>
                          <w:rFonts w:ascii="Tahoma" w:eastAsia="Tahoma" w:hAnsi="Tahoma" w:cs="Tahoma"/>
                          <w:b/>
                          <w:color w:val="002060"/>
                          <w:sz w:val="32"/>
                        </w:rPr>
                        <w:tab/>
                      </w:r>
                      <w:r>
                        <w:rPr>
                          <w:rFonts w:ascii="Tahoma" w:eastAsia="Tahoma" w:hAnsi="Tahoma" w:cs="Tahoma"/>
                          <w:b/>
                          <w:color w:val="002060"/>
                          <w:sz w:val="32"/>
                        </w:rPr>
                        <w:tab/>
                        <w:t xml:space="preserve">  Cabrera, Juan</w:t>
                      </w:r>
                    </w:p>
                    <w:p w14:paraId="65847A75" w14:textId="77777777" w:rsidR="001D0E7A" w:rsidRDefault="00000000">
                      <w:pPr>
                        <w:spacing w:line="240" w:lineRule="auto"/>
                        <w:ind w:right="1993"/>
                        <w:textDirection w:val="btLr"/>
                      </w:pPr>
                      <w:r>
                        <w:rPr>
                          <w:rFonts w:ascii="Tahoma" w:eastAsia="Tahoma" w:hAnsi="Tahoma" w:cs="Tahoma"/>
                          <w:b/>
                          <w:color w:val="002060"/>
                          <w:sz w:val="32"/>
                        </w:rPr>
                        <w:tab/>
                      </w:r>
                      <w:r>
                        <w:rPr>
                          <w:rFonts w:ascii="Tahoma" w:eastAsia="Tahoma" w:hAnsi="Tahoma" w:cs="Tahoma"/>
                          <w:b/>
                          <w:color w:val="002060"/>
                          <w:sz w:val="32"/>
                        </w:rPr>
                        <w:tab/>
                        <w:t xml:space="preserve">  Leiva, Francisco</w:t>
                      </w:r>
                    </w:p>
                  </w:txbxContent>
                </v:textbox>
                <w10:wrap type="square" anchorx="page"/>
              </v:rect>
            </w:pict>
          </mc:Fallback>
        </mc:AlternateContent>
      </w:r>
    </w:p>
    <w:p w14:paraId="65215776" w14:textId="1F8D0A72" w:rsidR="001D0E7A" w:rsidRDefault="001D0E7A" w:rsidP="00A0432B">
      <w:pPr>
        <w:widowControl w:val="0"/>
        <w:spacing w:line="240" w:lineRule="auto"/>
        <w:ind w:left="3239" w:right="3251"/>
        <w:rPr>
          <w:rFonts w:ascii="Tahoma" w:eastAsia="Tahoma" w:hAnsi="Tahoma" w:cs="Tahoma"/>
          <w:b/>
          <w:sz w:val="28"/>
          <w:szCs w:val="28"/>
        </w:rPr>
      </w:pPr>
    </w:p>
    <w:p w14:paraId="4B252FB2" w14:textId="168BE80D" w:rsidR="001D0E7A" w:rsidRPr="00A0432B" w:rsidRDefault="00A0432B" w:rsidP="00A0432B">
      <w:pPr>
        <w:spacing w:line="240" w:lineRule="auto"/>
        <w:ind w:left="1440" w:right="1993" w:firstLine="720"/>
        <w:jc w:val="center"/>
        <w:rPr>
          <w:rFonts w:ascii="Tahoma" w:eastAsia="Tahoma" w:hAnsi="Tahoma" w:cs="Tahoma"/>
          <w:bCs/>
          <w:color w:val="002060"/>
          <w:sz w:val="32"/>
        </w:rPr>
      </w:pPr>
      <w:r w:rsidRPr="00A0432B">
        <w:rPr>
          <w:rFonts w:ascii="Tahoma" w:eastAsia="Tahoma" w:hAnsi="Tahoma" w:cs="Tahoma"/>
          <w:bCs/>
          <w:color w:val="002060"/>
          <w:sz w:val="32"/>
        </w:rPr>
        <w:t xml:space="preserve">Link a </w:t>
      </w:r>
      <w:hyperlink r:id="rId11" w:history="1">
        <w:r w:rsidRPr="00A0432B">
          <w:rPr>
            <w:bCs/>
            <w:color w:val="E36C0A" w:themeColor="accent6" w:themeShade="BF"/>
            <w:sz w:val="32"/>
            <w:u w:val="single"/>
          </w:rPr>
          <w:t>GitHub</w:t>
        </w:r>
      </w:hyperlink>
    </w:p>
    <w:p w14:paraId="6CA393BB" w14:textId="77777777" w:rsidR="001D0E7A" w:rsidRDefault="001D0E7A">
      <w:pPr>
        <w:widowControl w:val="0"/>
        <w:spacing w:line="240" w:lineRule="auto"/>
        <w:ind w:left="3239" w:right="3251"/>
        <w:jc w:val="center"/>
        <w:rPr>
          <w:rFonts w:ascii="Tahoma" w:eastAsia="Tahoma" w:hAnsi="Tahoma" w:cs="Tahoma"/>
          <w:b/>
          <w:sz w:val="28"/>
          <w:szCs w:val="28"/>
        </w:rPr>
      </w:pPr>
    </w:p>
    <w:p w14:paraId="1D2D2A7F" w14:textId="38C8CD39" w:rsidR="001D0E7A" w:rsidRDefault="001D0E7A" w:rsidP="00F22B33">
      <w:pPr>
        <w:widowControl w:val="0"/>
        <w:spacing w:line="240" w:lineRule="auto"/>
        <w:ind w:right="3251"/>
        <w:rPr>
          <w:rFonts w:ascii="Tahoma" w:eastAsia="Tahoma" w:hAnsi="Tahoma" w:cs="Tahoma"/>
          <w:b/>
          <w:sz w:val="28"/>
          <w:szCs w:val="28"/>
        </w:rPr>
      </w:pPr>
    </w:p>
    <w:p w14:paraId="03E5EA82" w14:textId="77777777" w:rsidR="00F22B33" w:rsidRDefault="00F22B33" w:rsidP="00F22B33">
      <w:pPr>
        <w:spacing w:after="120"/>
        <w:jc w:val="both"/>
        <w:rPr>
          <w:b/>
          <w:sz w:val="20"/>
          <w:szCs w:val="20"/>
        </w:rPr>
      </w:pPr>
    </w:p>
    <w:p w14:paraId="69CBADD3" w14:textId="77777777" w:rsidR="00A0432B" w:rsidRDefault="00A0432B" w:rsidP="00DB4F5A">
      <w:pPr>
        <w:spacing w:before="120" w:after="120"/>
        <w:jc w:val="both"/>
        <w:rPr>
          <w:b/>
          <w:sz w:val="20"/>
          <w:szCs w:val="20"/>
        </w:rPr>
      </w:pPr>
    </w:p>
    <w:p w14:paraId="19618D64" w14:textId="77777777" w:rsidR="00A0432B" w:rsidRDefault="00A0432B" w:rsidP="00DB4F5A">
      <w:pPr>
        <w:spacing w:before="120" w:after="120"/>
        <w:jc w:val="both"/>
        <w:rPr>
          <w:b/>
          <w:sz w:val="20"/>
          <w:szCs w:val="20"/>
        </w:rPr>
      </w:pPr>
    </w:p>
    <w:p w14:paraId="68C3FDD6" w14:textId="45D8632D" w:rsidR="001D0E7A" w:rsidRPr="00F22B33" w:rsidRDefault="00000000" w:rsidP="00DB4F5A">
      <w:pPr>
        <w:spacing w:before="120" w:after="120"/>
        <w:jc w:val="both"/>
        <w:rPr>
          <w:b/>
          <w:sz w:val="20"/>
          <w:szCs w:val="20"/>
        </w:rPr>
      </w:pPr>
      <w:r w:rsidRPr="00F22B33">
        <w:rPr>
          <w:b/>
          <w:sz w:val="20"/>
          <w:szCs w:val="20"/>
        </w:rPr>
        <w:lastRenderedPageBreak/>
        <w:t>Introducción</w:t>
      </w:r>
    </w:p>
    <w:p w14:paraId="5DE9D3D0" w14:textId="721A7186" w:rsidR="001D0E7A" w:rsidRPr="00F22B33" w:rsidRDefault="00000000" w:rsidP="00DB4F5A">
      <w:pPr>
        <w:spacing w:before="120" w:after="120"/>
        <w:jc w:val="both"/>
        <w:rPr>
          <w:sz w:val="20"/>
          <w:szCs w:val="20"/>
        </w:rPr>
      </w:pPr>
      <w:r w:rsidRPr="00F22B33">
        <w:rPr>
          <w:sz w:val="20"/>
          <w:szCs w:val="20"/>
        </w:rPr>
        <w:t>El presente trabajo práctico tiene como objetivo profundizar en el análisis de la base de datos de la Encuesta Permanente de Hogares</w:t>
      </w:r>
      <w:r w:rsidR="00F22B33" w:rsidRPr="00F22B33">
        <w:rPr>
          <w:rStyle w:val="Refdenotaalpie"/>
          <w:sz w:val="20"/>
          <w:szCs w:val="20"/>
        </w:rPr>
        <w:footnoteReference w:id="1"/>
      </w:r>
      <w:r w:rsidRPr="00F22B33">
        <w:rPr>
          <w:sz w:val="20"/>
          <w:szCs w:val="20"/>
        </w:rPr>
        <w:t xml:space="preserve"> (EPH) para la región Patagónica, aplicando herramientas de estadística descriptiva y métodos no supervisados. A partir de la base construida en el TP 1, se indagan las principales características sociodemográficas y laborales de la población </w:t>
      </w:r>
      <w:r w:rsidR="00F22B33" w:rsidRPr="00F22B33">
        <w:rPr>
          <w:sz w:val="20"/>
          <w:szCs w:val="20"/>
        </w:rPr>
        <w:t>–</w:t>
      </w:r>
      <w:r w:rsidRPr="00F22B33">
        <w:rPr>
          <w:sz w:val="20"/>
          <w:szCs w:val="20"/>
        </w:rPr>
        <w:t>como edad, educación, ingresos y horas trabajadas</w:t>
      </w:r>
      <w:r w:rsidR="00F22B33" w:rsidRPr="00F22B33">
        <w:rPr>
          <w:sz w:val="20"/>
          <w:szCs w:val="20"/>
        </w:rPr>
        <w:t>–</w:t>
      </w:r>
      <w:r w:rsidRPr="00F22B33">
        <w:rPr>
          <w:sz w:val="20"/>
          <w:szCs w:val="20"/>
        </w:rPr>
        <w:t xml:space="preserve"> mediante histogramas, distribuciones kernel y técnicas de agrupamiento de datos (PCA y cluster). El análisis busca identificar diferencias en la distribución de estas variables entre personas pobres y no pobres, así como posibles patrones dentro de la estructura socioeconómica regional. </w:t>
      </w:r>
    </w:p>
    <w:p w14:paraId="51630CFB" w14:textId="77777777" w:rsidR="001D0E7A" w:rsidRPr="00F22B33" w:rsidRDefault="00000000" w:rsidP="00DB4F5A">
      <w:pPr>
        <w:spacing w:before="120" w:after="120"/>
        <w:jc w:val="both"/>
        <w:rPr>
          <w:b/>
          <w:sz w:val="20"/>
          <w:szCs w:val="20"/>
        </w:rPr>
      </w:pPr>
      <w:r w:rsidRPr="00F22B33">
        <w:rPr>
          <w:b/>
          <w:sz w:val="20"/>
          <w:szCs w:val="20"/>
        </w:rPr>
        <w:t>Parte I</w:t>
      </w:r>
    </w:p>
    <w:p w14:paraId="74DB5CC8" w14:textId="77777777" w:rsidR="001D0E7A" w:rsidRPr="00F22B33" w:rsidRDefault="00000000" w:rsidP="00DB4F5A">
      <w:pPr>
        <w:numPr>
          <w:ilvl w:val="0"/>
          <w:numId w:val="1"/>
        </w:numPr>
        <w:spacing w:before="120" w:after="120"/>
        <w:ind w:left="425" w:hanging="365"/>
        <w:jc w:val="both"/>
        <w:rPr>
          <w:sz w:val="20"/>
          <w:szCs w:val="20"/>
        </w:rPr>
      </w:pPr>
      <w:r w:rsidRPr="00F22B33">
        <w:rPr>
          <w:sz w:val="20"/>
          <w:szCs w:val="20"/>
        </w:rPr>
        <w:t>En el Panel A de la Figura 1, se observa que la distribución de edades presenta una mayor concentración en los grupos jóvenes, con una frecuencia que disminuye progresivamente a medida que aumenta la edad. En el Panel B, las curvas de densidad kernel muestran que las personas pobres tienden a concentrarse en edades más tempranas, mientras que las no pobres presentan una distribución más extendida hacia edades adultas. Esto sugiere que la pobreza se asocia con una estructura etaria más joven. Algunas de las causas que podrían explicar esta situación son la baja inserción laboral de los jóvenes en los segmentos formales del mercado laboral, o bien el mayor alcance y cobertura del sistema jubilatorio.</w:t>
      </w:r>
    </w:p>
    <w:p w14:paraId="2D8E0E0A" w14:textId="093AA8AC" w:rsidR="001D0E7A" w:rsidRPr="00F22B33" w:rsidRDefault="00000000" w:rsidP="00DB4F5A">
      <w:pPr>
        <w:spacing w:before="120" w:after="120"/>
        <w:jc w:val="center"/>
        <w:rPr>
          <w:b/>
          <w:bCs/>
          <w:sz w:val="20"/>
          <w:szCs w:val="20"/>
        </w:rPr>
      </w:pPr>
      <w:r w:rsidRPr="00F22B33">
        <w:rPr>
          <w:b/>
          <w:bCs/>
          <w:sz w:val="20"/>
          <w:szCs w:val="20"/>
        </w:rPr>
        <w:t>Figura 1</w:t>
      </w:r>
      <w:r w:rsidR="00F22B33" w:rsidRPr="00F22B33">
        <w:rPr>
          <w:b/>
          <w:bCs/>
          <w:sz w:val="20"/>
          <w:szCs w:val="20"/>
        </w:rPr>
        <w:t xml:space="preserve"> |</w:t>
      </w:r>
      <w:r w:rsidRPr="00F22B33">
        <w:rPr>
          <w:b/>
          <w:bCs/>
          <w:sz w:val="20"/>
          <w:szCs w:val="20"/>
        </w:rPr>
        <w:t xml:space="preserve"> Histograma de la distribución de la edad y distribución de kernel por pobreza.</w:t>
      </w:r>
    </w:p>
    <w:p w14:paraId="64FFD681" w14:textId="41ED0D6C" w:rsidR="001D0E7A" w:rsidRPr="00F22B33" w:rsidRDefault="00000000" w:rsidP="002E2905">
      <w:pPr>
        <w:tabs>
          <w:tab w:val="left" w:pos="284"/>
        </w:tabs>
        <w:spacing w:before="120" w:after="120"/>
        <w:jc w:val="center"/>
        <w:rPr>
          <w:sz w:val="20"/>
          <w:szCs w:val="20"/>
        </w:rPr>
      </w:pPr>
      <w:r w:rsidRPr="00F22B33">
        <w:rPr>
          <w:noProof/>
          <w:sz w:val="20"/>
          <w:szCs w:val="20"/>
        </w:rPr>
        <w:drawing>
          <wp:inline distT="114300" distB="114300" distL="114300" distR="114300" wp14:anchorId="2531B25F" wp14:editId="298033A3">
            <wp:extent cx="4506163" cy="1521561"/>
            <wp:effectExtent l="0" t="0" r="8890" b="254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4537460" cy="1532129"/>
                    </a:xfrm>
                    <a:prstGeom prst="rect">
                      <a:avLst/>
                    </a:prstGeom>
                    <a:ln/>
                  </pic:spPr>
                </pic:pic>
              </a:graphicData>
            </a:graphic>
          </wp:inline>
        </w:drawing>
      </w:r>
    </w:p>
    <w:p w14:paraId="16FC2ADF" w14:textId="4C4D3495" w:rsidR="001D0E7A" w:rsidRPr="00F22B33" w:rsidRDefault="00000000" w:rsidP="00DB4F5A">
      <w:pPr>
        <w:numPr>
          <w:ilvl w:val="0"/>
          <w:numId w:val="1"/>
        </w:numPr>
        <w:spacing w:before="120" w:after="120"/>
        <w:ind w:left="425"/>
        <w:jc w:val="both"/>
        <w:rPr>
          <w:sz w:val="20"/>
          <w:szCs w:val="20"/>
        </w:rPr>
      </w:pPr>
      <w:r w:rsidRPr="00F22B33">
        <w:rPr>
          <w:sz w:val="20"/>
          <w:szCs w:val="20"/>
        </w:rPr>
        <w:t xml:space="preserve">En la Tabla 1, se pueden observar las estadísticas descriptivas de la variable </w:t>
      </w:r>
      <w:r w:rsidRPr="00F22B33">
        <w:rPr>
          <w:i/>
          <w:sz w:val="20"/>
          <w:szCs w:val="20"/>
        </w:rPr>
        <w:t>educ</w:t>
      </w:r>
      <w:r w:rsidRPr="00F22B33">
        <w:rPr>
          <w:sz w:val="20"/>
          <w:szCs w:val="20"/>
        </w:rPr>
        <w:t>, que mide la cantidad de años de educación formal. En primer lugar, la variable presenta un promedio de 10,1 años y una mediana de 11, lo que indica que la mayoría de las personas alcanzan, en promedio, un nivel cercano a la educación secundaria completa. La desviación estándar de aproximadamente 5 años refleja una importante heterogeneidad educativa dentro de la población. El valor mínimo de 0 evidencia la presencia de individuos sin educación formal, mientras que el máximo de 23 años corresponde a personas con estudios universitarios o de posgrado. En conjunto, los resultados muestran una estructura educativa relativamente amplia, con una mayoría que accede al nivel medio y una menor proporción con educación superior.</w:t>
      </w:r>
    </w:p>
    <w:p w14:paraId="6305765D" w14:textId="08693066" w:rsidR="001D0E7A" w:rsidRPr="00F22B33" w:rsidRDefault="00000000" w:rsidP="00DB4F5A">
      <w:pPr>
        <w:spacing w:before="120" w:after="120"/>
        <w:jc w:val="center"/>
        <w:rPr>
          <w:b/>
          <w:bCs/>
          <w:sz w:val="20"/>
          <w:szCs w:val="20"/>
        </w:rPr>
      </w:pPr>
      <w:r w:rsidRPr="00F22B33">
        <w:rPr>
          <w:b/>
          <w:bCs/>
          <w:sz w:val="20"/>
          <w:szCs w:val="20"/>
        </w:rPr>
        <w:t>Tabla 1</w:t>
      </w:r>
      <w:r w:rsidR="00F22B33" w:rsidRPr="00F22B33">
        <w:rPr>
          <w:b/>
          <w:bCs/>
          <w:sz w:val="20"/>
          <w:szCs w:val="20"/>
        </w:rPr>
        <w:t xml:space="preserve"> |</w:t>
      </w:r>
      <w:r w:rsidRPr="00F22B33">
        <w:rPr>
          <w:b/>
          <w:bCs/>
          <w:sz w:val="20"/>
          <w:szCs w:val="20"/>
        </w:rPr>
        <w:t xml:space="preserve"> Estadísticas descriptivas de los años de educación.</w:t>
      </w:r>
    </w:p>
    <w:tbl>
      <w:tblPr>
        <w:tblStyle w:val="Tablaconcuadrcula"/>
        <w:tblW w:w="0" w:type="auto"/>
        <w:jc w:val="center"/>
        <w:tblLook w:val="04A0" w:firstRow="1" w:lastRow="0" w:firstColumn="1" w:lastColumn="0" w:noHBand="0" w:noVBand="1"/>
      </w:tblPr>
      <w:tblGrid>
        <w:gridCol w:w="1696"/>
        <w:gridCol w:w="1418"/>
      </w:tblGrid>
      <w:tr w:rsidR="00E651D3" w:rsidRPr="00F22B33" w14:paraId="35F268B3" w14:textId="77777777" w:rsidTr="00776387">
        <w:trPr>
          <w:trHeight w:val="301"/>
          <w:jc w:val="center"/>
        </w:trPr>
        <w:tc>
          <w:tcPr>
            <w:tcW w:w="1696" w:type="dxa"/>
          </w:tcPr>
          <w:p w14:paraId="5FB15633" w14:textId="4FBF6016" w:rsidR="00E651D3" w:rsidRPr="00F22B33" w:rsidRDefault="00E651D3" w:rsidP="00776387">
            <w:pPr>
              <w:jc w:val="center"/>
              <w:rPr>
                <w:sz w:val="20"/>
                <w:szCs w:val="20"/>
              </w:rPr>
            </w:pPr>
            <w:r w:rsidRPr="00F22B33">
              <w:rPr>
                <w:sz w:val="20"/>
                <w:szCs w:val="20"/>
              </w:rPr>
              <w:t>Media</w:t>
            </w:r>
          </w:p>
        </w:tc>
        <w:tc>
          <w:tcPr>
            <w:tcW w:w="1418" w:type="dxa"/>
            <w:vAlign w:val="center"/>
          </w:tcPr>
          <w:p w14:paraId="3144C2D0" w14:textId="3A043430" w:rsidR="00E651D3" w:rsidRPr="00F22B33" w:rsidRDefault="00E651D3" w:rsidP="00776387">
            <w:pPr>
              <w:jc w:val="center"/>
              <w:rPr>
                <w:sz w:val="20"/>
                <w:szCs w:val="20"/>
              </w:rPr>
            </w:pPr>
            <w:r w:rsidRPr="00F22B33">
              <w:rPr>
                <w:sz w:val="20"/>
                <w:szCs w:val="20"/>
              </w:rPr>
              <w:t>10,1</w:t>
            </w:r>
            <w:r w:rsidR="00776387">
              <w:rPr>
                <w:sz w:val="20"/>
                <w:szCs w:val="20"/>
              </w:rPr>
              <w:t xml:space="preserve"> horas</w:t>
            </w:r>
          </w:p>
        </w:tc>
      </w:tr>
      <w:tr w:rsidR="00E651D3" w:rsidRPr="00F22B33" w14:paraId="4604432C" w14:textId="77777777" w:rsidTr="00776387">
        <w:trPr>
          <w:trHeight w:val="288"/>
          <w:jc w:val="center"/>
        </w:trPr>
        <w:tc>
          <w:tcPr>
            <w:tcW w:w="1696" w:type="dxa"/>
          </w:tcPr>
          <w:p w14:paraId="2FA76B47" w14:textId="538EBF84" w:rsidR="00E651D3" w:rsidRPr="00F22B33" w:rsidRDefault="00E651D3" w:rsidP="00776387">
            <w:pPr>
              <w:jc w:val="center"/>
              <w:rPr>
                <w:sz w:val="20"/>
                <w:szCs w:val="20"/>
              </w:rPr>
            </w:pPr>
            <w:r w:rsidRPr="00F22B33">
              <w:rPr>
                <w:sz w:val="20"/>
                <w:szCs w:val="20"/>
              </w:rPr>
              <w:t>Desvío estándar</w:t>
            </w:r>
          </w:p>
        </w:tc>
        <w:tc>
          <w:tcPr>
            <w:tcW w:w="1418" w:type="dxa"/>
          </w:tcPr>
          <w:p w14:paraId="44CB4AE0" w14:textId="334C1014" w:rsidR="00E651D3" w:rsidRPr="00F22B33" w:rsidRDefault="00E651D3" w:rsidP="00776387">
            <w:pPr>
              <w:jc w:val="center"/>
              <w:rPr>
                <w:sz w:val="20"/>
                <w:szCs w:val="20"/>
              </w:rPr>
            </w:pPr>
            <w:r w:rsidRPr="00F22B33">
              <w:rPr>
                <w:sz w:val="20"/>
                <w:szCs w:val="20"/>
              </w:rPr>
              <w:t>5,1</w:t>
            </w:r>
            <w:r w:rsidR="00776387">
              <w:rPr>
                <w:sz w:val="20"/>
                <w:szCs w:val="20"/>
              </w:rPr>
              <w:t xml:space="preserve"> horas</w:t>
            </w:r>
          </w:p>
        </w:tc>
      </w:tr>
      <w:tr w:rsidR="00E651D3" w:rsidRPr="00F22B33" w14:paraId="0EF8BA82" w14:textId="77777777" w:rsidTr="00776387">
        <w:trPr>
          <w:trHeight w:val="301"/>
          <w:jc w:val="center"/>
        </w:trPr>
        <w:tc>
          <w:tcPr>
            <w:tcW w:w="1696" w:type="dxa"/>
          </w:tcPr>
          <w:p w14:paraId="2C91D9FC" w14:textId="16AF9031" w:rsidR="00E651D3" w:rsidRPr="00F22B33" w:rsidRDefault="00E651D3" w:rsidP="00776387">
            <w:pPr>
              <w:jc w:val="center"/>
              <w:rPr>
                <w:sz w:val="20"/>
                <w:szCs w:val="20"/>
              </w:rPr>
            </w:pPr>
            <w:r w:rsidRPr="00F22B33">
              <w:rPr>
                <w:sz w:val="20"/>
                <w:szCs w:val="20"/>
              </w:rPr>
              <w:t>Mínimo</w:t>
            </w:r>
          </w:p>
        </w:tc>
        <w:tc>
          <w:tcPr>
            <w:tcW w:w="1418" w:type="dxa"/>
          </w:tcPr>
          <w:p w14:paraId="72645AB5" w14:textId="3618573C" w:rsidR="00E651D3" w:rsidRPr="00F22B33" w:rsidRDefault="00E651D3" w:rsidP="00776387">
            <w:pPr>
              <w:jc w:val="center"/>
              <w:rPr>
                <w:sz w:val="20"/>
                <w:szCs w:val="20"/>
              </w:rPr>
            </w:pPr>
            <w:r w:rsidRPr="00F22B33">
              <w:rPr>
                <w:sz w:val="20"/>
                <w:szCs w:val="20"/>
              </w:rPr>
              <w:t>0,0</w:t>
            </w:r>
            <w:r w:rsidR="00776387">
              <w:rPr>
                <w:sz w:val="20"/>
                <w:szCs w:val="20"/>
              </w:rPr>
              <w:t xml:space="preserve"> horas</w:t>
            </w:r>
          </w:p>
        </w:tc>
      </w:tr>
      <w:tr w:rsidR="00E651D3" w:rsidRPr="00F22B33" w14:paraId="623E81D9" w14:textId="77777777" w:rsidTr="00776387">
        <w:trPr>
          <w:trHeight w:val="301"/>
          <w:jc w:val="center"/>
        </w:trPr>
        <w:tc>
          <w:tcPr>
            <w:tcW w:w="1696" w:type="dxa"/>
          </w:tcPr>
          <w:p w14:paraId="7717BE4D" w14:textId="49500B6A" w:rsidR="00E651D3" w:rsidRPr="00F22B33" w:rsidRDefault="00E651D3" w:rsidP="00776387">
            <w:pPr>
              <w:jc w:val="center"/>
              <w:rPr>
                <w:sz w:val="20"/>
                <w:szCs w:val="20"/>
              </w:rPr>
            </w:pPr>
            <w:r w:rsidRPr="00F22B33">
              <w:rPr>
                <w:sz w:val="20"/>
                <w:szCs w:val="20"/>
              </w:rPr>
              <w:t>Mediana</w:t>
            </w:r>
          </w:p>
        </w:tc>
        <w:tc>
          <w:tcPr>
            <w:tcW w:w="1418" w:type="dxa"/>
          </w:tcPr>
          <w:p w14:paraId="64EC8F33" w14:textId="499FA155" w:rsidR="00E651D3" w:rsidRPr="00F22B33" w:rsidRDefault="00E651D3" w:rsidP="00776387">
            <w:pPr>
              <w:jc w:val="center"/>
              <w:rPr>
                <w:sz w:val="20"/>
                <w:szCs w:val="20"/>
              </w:rPr>
            </w:pPr>
            <w:r w:rsidRPr="00F22B33">
              <w:rPr>
                <w:sz w:val="20"/>
                <w:szCs w:val="20"/>
              </w:rPr>
              <w:t>11,0</w:t>
            </w:r>
            <w:r w:rsidR="00776387">
              <w:rPr>
                <w:sz w:val="20"/>
                <w:szCs w:val="20"/>
              </w:rPr>
              <w:t xml:space="preserve"> horas</w:t>
            </w:r>
          </w:p>
        </w:tc>
      </w:tr>
      <w:tr w:rsidR="00E651D3" w:rsidRPr="00F22B33" w14:paraId="1AA4FDA9" w14:textId="77777777" w:rsidTr="00776387">
        <w:trPr>
          <w:trHeight w:val="301"/>
          <w:jc w:val="center"/>
        </w:trPr>
        <w:tc>
          <w:tcPr>
            <w:tcW w:w="1696" w:type="dxa"/>
          </w:tcPr>
          <w:p w14:paraId="3176B57B" w14:textId="16708C50" w:rsidR="00E651D3" w:rsidRPr="00F22B33" w:rsidRDefault="00E651D3" w:rsidP="00776387">
            <w:pPr>
              <w:jc w:val="center"/>
              <w:rPr>
                <w:sz w:val="20"/>
                <w:szCs w:val="20"/>
              </w:rPr>
            </w:pPr>
            <w:r w:rsidRPr="00F22B33">
              <w:rPr>
                <w:sz w:val="20"/>
                <w:szCs w:val="20"/>
              </w:rPr>
              <w:t>Máximo</w:t>
            </w:r>
          </w:p>
        </w:tc>
        <w:tc>
          <w:tcPr>
            <w:tcW w:w="1418" w:type="dxa"/>
          </w:tcPr>
          <w:p w14:paraId="321CEC60" w14:textId="58196195" w:rsidR="00E651D3" w:rsidRPr="00F22B33" w:rsidRDefault="00E651D3" w:rsidP="00776387">
            <w:pPr>
              <w:jc w:val="center"/>
              <w:rPr>
                <w:sz w:val="20"/>
                <w:szCs w:val="20"/>
              </w:rPr>
            </w:pPr>
            <w:r w:rsidRPr="00F22B33">
              <w:rPr>
                <w:sz w:val="20"/>
                <w:szCs w:val="20"/>
              </w:rPr>
              <w:t>23,0</w:t>
            </w:r>
            <w:r w:rsidR="00776387">
              <w:rPr>
                <w:sz w:val="20"/>
                <w:szCs w:val="20"/>
              </w:rPr>
              <w:t xml:space="preserve"> horas</w:t>
            </w:r>
          </w:p>
        </w:tc>
      </w:tr>
    </w:tbl>
    <w:p w14:paraId="5B10B4C6" w14:textId="0DAF7D7C" w:rsidR="001D0E7A" w:rsidRPr="00F22B33" w:rsidRDefault="00000000" w:rsidP="00DB4F5A">
      <w:pPr>
        <w:numPr>
          <w:ilvl w:val="0"/>
          <w:numId w:val="1"/>
        </w:numPr>
        <w:spacing w:before="120" w:after="120"/>
        <w:ind w:left="283" w:hanging="283"/>
        <w:jc w:val="both"/>
        <w:rPr>
          <w:sz w:val="20"/>
          <w:szCs w:val="20"/>
        </w:rPr>
      </w:pPr>
      <w:r w:rsidRPr="00F22B33">
        <w:rPr>
          <w:sz w:val="20"/>
          <w:szCs w:val="20"/>
        </w:rPr>
        <w:t xml:space="preserve">En el Panel A de la Figura 2 se aprecia que la distribución del ingreso total familiar en ambos años (2005 y 2025) presenta una fuerte asimetría hacia la derecha, con la mayoría de los hogares concentrados en los tramos de ingresos bajos y una caída progresiva a medida que aumentan los ingresos. Al comparar ambos años, la distribución de 2025 (en amarillo) muestra un leve desplazamiento hacia la derecha respecto de </w:t>
      </w:r>
      <w:r w:rsidRPr="00F22B33">
        <w:rPr>
          <w:sz w:val="20"/>
          <w:szCs w:val="20"/>
        </w:rPr>
        <w:lastRenderedPageBreak/>
        <w:t>2005, lo que da cuenta de una peor situación en términos generales. En el Panel B, la densidad de los hogares pobres se concentra claramente por debajo de la línea de pobreza, –siendo más aguda la situación en el caso de hogares pobres de 2025–, mientras que los no pobres muestran una distribución más extendida y heterogénea. En conjunto, las curvas evidencian una marcada desigualdad en la distribución del ingreso y una brecha persistente entre los hogares pobres y no pobres en la región patagónica.</w:t>
      </w:r>
    </w:p>
    <w:p w14:paraId="2AF40100" w14:textId="0AC9742B" w:rsidR="001D0E7A" w:rsidRPr="00F22B33" w:rsidRDefault="00000000" w:rsidP="00DB4F5A">
      <w:pPr>
        <w:spacing w:before="120" w:after="120"/>
        <w:jc w:val="center"/>
        <w:rPr>
          <w:b/>
          <w:bCs/>
          <w:sz w:val="20"/>
          <w:szCs w:val="20"/>
        </w:rPr>
      </w:pPr>
      <w:r w:rsidRPr="00F22B33">
        <w:rPr>
          <w:b/>
          <w:bCs/>
          <w:sz w:val="20"/>
          <w:szCs w:val="20"/>
        </w:rPr>
        <w:t>Figura 2</w:t>
      </w:r>
      <w:r w:rsidR="00F22B33" w:rsidRPr="00F22B33">
        <w:rPr>
          <w:b/>
          <w:bCs/>
          <w:sz w:val="20"/>
          <w:szCs w:val="20"/>
        </w:rPr>
        <w:t xml:space="preserve"> |</w:t>
      </w:r>
      <w:r w:rsidRPr="00F22B33">
        <w:rPr>
          <w:b/>
          <w:bCs/>
          <w:sz w:val="20"/>
          <w:szCs w:val="20"/>
        </w:rPr>
        <w:t xml:space="preserve"> Distribución del Ingreso total familiar y distribución según pobreza</w:t>
      </w:r>
      <w:r w:rsidR="00F22B33">
        <w:rPr>
          <w:b/>
          <w:bCs/>
          <w:sz w:val="20"/>
          <w:szCs w:val="20"/>
        </w:rPr>
        <w:t xml:space="preserve"> por año.</w:t>
      </w:r>
    </w:p>
    <w:p w14:paraId="235AD362" w14:textId="2C61E077" w:rsidR="001D0E7A" w:rsidRPr="00F22B33" w:rsidRDefault="00000000" w:rsidP="002E2905">
      <w:pPr>
        <w:spacing w:before="120" w:after="120"/>
        <w:jc w:val="center"/>
        <w:rPr>
          <w:sz w:val="20"/>
          <w:szCs w:val="20"/>
        </w:rPr>
      </w:pPr>
      <w:r w:rsidRPr="00F22B33">
        <w:rPr>
          <w:noProof/>
          <w:sz w:val="20"/>
          <w:szCs w:val="20"/>
        </w:rPr>
        <w:drawing>
          <wp:inline distT="114300" distB="114300" distL="114300" distR="114300" wp14:anchorId="26CD261C" wp14:editId="3022B867">
            <wp:extent cx="5076749" cy="1550822"/>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097097" cy="1557038"/>
                    </a:xfrm>
                    <a:prstGeom prst="rect">
                      <a:avLst/>
                    </a:prstGeom>
                    <a:ln/>
                  </pic:spPr>
                </pic:pic>
              </a:graphicData>
            </a:graphic>
          </wp:inline>
        </w:drawing>
      </w:r>
    </w:p>
    <w:p w14:paraId="6E6C17DD" w14:textId="08DC5C84" w:rsidR="001D0E7A" w:rsidRPr="00F22B33" w:rsidRDefault="00000000" w:rsidP="00DB4F5A">
      <w:pPr>
        <w:numPr>
          <w:ilvl w:val="0"/>
          <w:numId w:val="1"/>
        </w:numPr>
        <w:spacing w:before="120" w:after="120"/>
        <w:ind w:left="425" w:hanging="365"/>
        <w:jc w:val="both"/>
        <w:rPr>
          <w:sz w:val="20"/>
          <w:szCs w:val="20"/>
        </w:rPr>
      </w:pPr>
      <w:r w:rsidRPr="00F22B33">
        <w:rPr>
          <w:sz w:val="20"/>
          <w:szCs w:val="20"/>
        </w:rPr>
        <w:t xml:space="preserve">La variable </w:t>
      </w:r>
      <w:r w:rsidRPr="00F22B33">
        <w:rPr>
          <w:i/>
          <w:sz w:val="20"/>
          <w:szCs w:val="20"/>
        </w:rPr>
        <w:t>horastrab</w:t>
      </w:r>
      <w:r w:rsidRPr="00F22B33">
        <w:rPr>
          <w:sz w:val="20"/>
          <w:szCs w:val="20"/>
        </w:rPr>
        <w:t>, que mide el total de horas trabajadas semanalmente por el jefe o jefa del hogar, presenta un promedio de 43,5 horas semanales y una mediana de 40</w:t>
      </w:r>
      <w:r w:rsidR="00E651D3" w:rsidRPr="00F22B33">
        <w:rPr>
          <w:sz w:val="20"/>
          <w:szCs w:val="20"/>
        </w:rPr>
        <w:t>,0</w:t>
      </w:r>
      <w:r w:rsidRPr="00F22B33">
        <w:rPr>
          <w:sz w:val="20"/>
          <w:szCs w:val="20"/>
        </w:rPr>
        <w:t xml:space="preserve">, lo que indica que la mayoría de los trabajadores cumple una jornada cercana a la de tiempo completo (Tabla 2). La desviación estándar de 16,2 horas refleja una heterogeneidad </w:t>
      </w:r>
      <w:r w:rsidR="00E651D3" w:rsidRPr="00F22B33">
        <w:rPr>
          <w:sz w:val="20"/>
          <w:szCs w:val="20"/>
        </w:rPr>
        <w:t xml:space="preserve">significativa </w:t>
      </w:r>
      <w:r w:rsidRPr="00F22B33">
        <w:rPr>
          <w:sz w:val="20"/>
          <w:szCs w:val="20"/>
        </w:rPr>
        <w:t>en las cargas horarias, probablemente asociada a la presencia de empleos informales, subocupación o múltiples ocupaciones. El mínimo es de 2</w:t>
      </w:r>
      <w:r w:rsidR="00E651D3" w:rsidRPr="00F22B33">
        <w:rPr>
          <w:sz w:val="20"/>
          <w:szCs w:val="20"/>
        </w:rPr>
        <w:t>,0</w:t>
      </w:r>
      <w:r w:rsidRPr="00F22B33">
        <w:rPr>
          <w:sz w:val="20"/>
          <w:szCs w:val="20"/>
        </w:rPr>
        <w:t xml:space="preserve"> horas y el máximo de 126</w:t>
      </w:r>
      <w:r w:rsidR="00E651D3" w:rsidRPr="00F22B33">
        <w:rPr>
          <w:sz w:val="20"/>
          <w:szCs w:val="20"/>
        </w:rPr>
        <w:t>,0</w:t>
      </w:r>
      <w:r w:rsidRPr="00F22B33">
        <w:rPr>
          <w:sz w:val="20"/>
          <w:szCs w:val="20"/>
        </w:rPr>
        <w:t>, lo cual en principio es un valor fuera de lo común (suponiendo que trabaja los 7 días de la semana, da un promedio de 18 horas diarias). En conjunto, los resultados sugieren una estructura laboral diversa.</w:t>
      </w:r>
    </w:p>
    <w:p w14:paraId="77A1569B" w14:textId="0A010BC8" w:rsidR="001D0E7A" w:rsidRPr="00F22B33" w:rsidRDefault="00000000" w:rsidP="00DB4F5A">
      <w:pPr>
        <w:spacing w:before="120" w:after="120"/>
        <w:jc w:val="center"/>
        <w:rPr>
          <w:b/>
          <w:bCs/>
          <w:sz w:val="20"/>
          <w:szCs w:val="20"/>
        </w:rPr>
      </w:pPr>
      <w:r w:rsidRPr="00F22B33">
        <w:rPr>
          <w:b/>
          <w:bCs/>
          <w:sz w:val="20"/>
          <w:szCs w:val="20"/>
        </w:rPr>
        <w:t>Tabla 2</w:t>
      </w:r>
      <w:r w:rsidR="00F22B33">
        <w:rPr>
          <w:b/>
          <w:bCs/>
          <w:sz w:val="20"/>
          <w:szCs w:val="20"/>
        </w:rPr>
        <w:t xml:space="preserve"> |</w:t>
      </w:r>
      <w:r w:rsidRPr="00F22B33">
        <w:rPr>
          <w:b/>
          <w:bCs/>
          <w:sz w:val="20"/>
          <w:szCs w:val="20"/>
        </w:rPr>
        <w:t xml:space="preserve"> Estadísticas descriptivas de las horas trabajadas.</w:t>
      </w:r>
    </w:p>
    <w:tbl>
      <w:tblPr>
        <w:tblStyle w:val="Tablaconcuadrcula"/>
        <w:tblW w:w="0" w:type="auto"/>
        <w:jc w:val="center"/>
        <w:tblLook w:val="04A0" w:firstRow="1" w:lastRow="0" w:firstColumn="1" w:lastColumn="0" w:noHBand="0" w:noVBand="1"/>
      </w:tblPr>
      <w:tblGrid>
        <w:gridCol w:w="1696"/>
        <w:gridCol w:w="1134"/>
      </w:tblGrid>
      <w:tr w:rsidR="00E651D3" w:rsidRPr="00F22B33" w14:paraId="680B3E86" w14:textId="77777777" w:rsidTr="00776387">
        <w:trPr>
          <w:trHeight w:val="150"/>
          <w:jc w:val="center"/>
        </w:trPr>
        <w:tc>
          <w:tcPr>
            <w:tcW w:w="1696" w:type="dxa"/>
          </w:tcPr>
          <w:p w14:paraId="1288612B" w14:textId="77777777" w:rsidR="00E651D3" w:rsidRPr="00F22B33" w:rsidRDefault="00E651D3" w:rsidP="00776387">
            <w:pPr>
              <w:jc w:val="center"/>
              <w:rPr>
                <w:sz w:val="20"/>
                <w:szCs w:val="20"/>
              </w:rPr>
            </w:pPr>
            <w:r w:rsidRPr="00F22B33">
              <w:rPr>
                <w:sz w:val="20"/>
                <w:szCs w:val="20"/>
              </w:rPr>
              <w:t>Media</w:t>
            </w:r>
          </w:p>
        </w:tc>
        <w:tc>
          <w:tcPr>
            <w:tcW w:w="1134" w:type="dxa"/>
          </w:tcPr>
          <w:p w14:paraId="15047BBA" w14:textId="519FE3E5" w:rsidR="00E651D3" w:rsidRPr="00F22B33" w:rsidRDefault="00E651D3" w:rsidP="00776387">
            <w:pPr>
              <w:jc w:val="center"/>
              <w:rPr>
                <w:sz w:val="20"/>
                <w:szCs w:val="20"/>
              </w:rPr>
            </w:pPr>
            <w:r w:rsidRPr="00F22B33">
              <w:rPr>
                <w:sz w:val="20"/>
                <w:szCs w:val="20"/>
              </w:rPr>
              <w:t>43,5</w:t>
            </w:r>
          </w:p>
        </w:tc>
      </w:tr>
      <w:tr w:rsidR="00E651D3" w:rsidRPr="00F22B33" w14:paraId="0EE02C4F" w14:textId="77777777" w:rsidTr="00776387">
        <w:trPr>
          <w:trHeight w:val="142"/>
          <w:jc w:val="center"/>
        </w:trPr>
        <w:tc>
          <w:tcPr>
            <w:tcW w:w="1696" w:type="dxa"/>
          </w:tcPr>
          <w:p w14:paraId="126A7E1D" w14:textId="77777777" w:rsidR="00E651D3" w:rsidRPr="00F22B33" w:rsidRDefault="00E651D3" w:rsidP="00776387">
            <w:pPr>
              <w:jc w:val="center"/>
              <w:rPr>
                <w:sz w:val="20"/>
                <w:szCs w:val="20"/>
              </w:rPr>
            </w:pPr>
            <w:r w:rsidRPr="00F22B33">
              <w:rPr>
                <w:sz w:val="20"/>
                <w:szCs w:val="20"/>
              </w:rPr>
              <w:t>Desvío estándar</w:t>
            </w:r>
          </w:p>
        </w:tc>
        <w:tc>
          <w:tcPr>
            <w:tcW w:w="1134" w:type="dxa"/>
          </w:tcPr>
          <w:p w14:paraId="1A74D370" w14:textId="464613AF" w:rsidR="00E651D3" w:rsidRPr="00F22B33" w:rsidRDefault="00E651D3" w:rsidP="00776387">
            <w:pPr>
              <w:jc w:val="center"/>
              <w:rPr>
                <w:sz w:val="20"/>
                <w:szCs w:val="20"/>
              </w:rPr>
            </w:pPr>
            <w:r w:rsidRPr="00F22B33">
              <w:rPr>
                <w:sz w:val="20"/>
                <w:szCs w:val="20"/>
              </w:rPr>
              <w:t>16,2</w:t>
            </w:r>
          </w:p>
        </w:tc>
      </w:tr>
      <w:tr w:rsidR="00E651D3" w:rsidRPr="00F22B33" w14:paraId="4202F428" w14:textId="77777777" w:rsidTr="00776387">
        <w:trPr>
          <w:trHeight w:val="150"/>
          <w:jc w:val="center"/>
        </w:trPr>
        <w:tc>
          <w:tcPr>
            <w:tcW w:w="1696" w:type="dxa"/>
          </w:tcPr>
          <w:p w14:paraId="49108427" w14:textId="77777777" w:rsidR="00E651D3" w:rsidRPr="00F22B33" w:rsidRDefault="00E651D3" w:rsidP="00776387">
            <w:pPr>
              <w:jc w:val="center"/>
              <w:rPr>
                <w:sz w:val="20"/>
                <w:szCs w:val="20"/>
              </w:rPr>
            </w:pPr>
            <w:r w:rsidRPr="00F22B33">
              <w:rPr>
                <w:sz w:val="20"/>
                <w:szCs w:val="20"/>
              </w:rPr>
              <w:t>Mínimo</w:t>
            </w:r>
          </w:p>
        </w:tc>
        <w:tc>
          <w:tcPr>
            <w:tcW w:w="1134" w:type="dxa"/>
          </w:tcPr>
          <w:p w14:paraId="19AAA184" w14:textId="114D9210" w:rsidR="00E651D3" w:rsidRPr="00F22B33" w:rsidRDefault="00E651D3" w:rsidP="00776387">
            <w:pPr>
              <w:jc w:val="center"/>
              <w:rPr>
                <w:sz w:val="20"/>
                <w:szCs w:val="20"/>
              </w:rPr>
            </w:pPr>
            <w:r w:rsidRPr="00F22B33">
              <w:rPr>
                <w:sz w:val="20"/>
                <w:szCs w:val="20"/>
              </w:rPr>
              <w:t>2,0</w:t>
            </w:r>
          </w:p>
        </w:tc>
      </w:tr>
      <w:tr w:rsidR="00E651D3" w:rsidRPr="00F22B33" w14:paraId="20FE2A31" w14:textId="77777777" w:rsidTr="00776387">
        <w:trPr>
          <w:trHeight w:val="150"/>
          <w:jc w:val="center"/>
        </w:trPr>
        <w:tc>
          <w:tcPr>
            <w:tcW w:w="1696" w:type="dxa"/>
          </w:tcPr>
          <w:p w14:paraId="065D8D02" w14:textId="77777777" w:rsidR="00E651D3" w:rsidRPr="00F22B33" w:rsidRDefault="00E651D3" w:rsidP="00776387">
            <w:pPr>
              <w:jc w:val="center"/>
              <w:rPr>
                <w:sz w:val="20"/>
                <w:szCs w:val="20"/>
              </w:rPr>
            </w:pPr>
            <w:r w:rsidRPr="00F22B33">
              <w:rPr>
                <w:sz w:val="20"/>
                <w:szCs w:val="20"/>
              </w:rPr>
              <w:t>Mediana</w:t>
            </w:r>
          </w:p>
        </w:tc>
        <w:tc>
          <w:tcPr>
            <w:tcW w:w="1134" w:type="dxa"/>
          </w:tcPr>
          <w:p w14:paraId="4DF73D79" w14:textId="72E790D1" w:rsidR="00E651D3" w:rsidRPr="00F22B33" w:rsidRDefault="00E651D3" w:rsidP="00776387">
            <w:pPr>
              <w:jc w:val="center"/>
              <w:rPr>
                <w:sz w:val="20"/>
                <w:szCs w:val="20"/>
              </w:rPr>
            </w:pPr>
            <w:r w:rsidRPr="00F22B33">
              <w:rPr>
                <w:sz w:val="20"/>
                <w:szCs w:val="20"/>
              </w:rPr>
              <w:t>40,0</w:t>
            </w:r>
          </w:p>
        </w:tc>
      </w:tr>
      <w:tr w:rsidR="00E651D3" w:rsidRPr="00F22B33" w14:paraId="597DE22F" w14:textId="77777777" w:rsidTr="00776387">
        <w:trPr>
          <w:trHeight w:val="150"/>
          <w:jc w:val="center"/>
        </w:trPr>
        <w:tc>
          <w:tcPr>
            <w:tcW w:w="1696" w:type="dxa"/>
          </w:tcPr>
          <w:p w14:paraId="51A56E78" w14:textId="77777777" w:rsidR="00E651D3" w:rsidRPr="00F22B33" w:rsidRDefault="00E651D3" w:rsidP="00776387">
            <w:pPr>
              <w:jc w:val="center"/>
              <w:rPr>
                <w:sz w:val="20"/>
                <w:szCs w:val="20"/>
              </w:rPr>
            </w:pPr>
            <w:r w:rsidRPr="00F22B33">
              <w:rPr>
                <w:sz w:val="20"/>
                <w:szCs w:val="20"/>
              </w:rPr>
              <w:t>Máximo</w:t>
            </w:r>
          </w:p>
        </w:tc>
        <w:tc>
          <w:tcPr>
            <w:tcW w:w="1134" w:type="dxa"/>
          </w:tcPr>
          <w:p w14:paraId="528BD52C" w14:textId="2B81AD52" w:rsidR="00E651D3" w:rsidRPr="00F22B33" w:rsidRDefault="00E651D3" w:rsidP="00776387">
            <w:pPr>
              <w:jc w:val="center"/>
              <w:rPr>
                <w:sz w:val="20"/>
                <w:szCs w:val="20"/>
              </w:rPr>
            </w:pPr>
            <w:r w:rsidRPr="00F22B33">
              <w:rPr>
                <w:sz w:val="20"/>
                <w:szCs w:val="20"/>
              </w:rPr>
              <w:t>126,0</w:t>
            </w:r>
          </w:p>
        </w:tc>
      </w:tr>
    </w:tbl>
    <w:p w14:paraId="7859F8D1" w14:textId="719AEF35" w:rsidR="001D0E7A" w:rsidRPr="00DB4F5A" w:rsidRDefault="00000000" w:rsidP="00DB4F5A">
      <w:pPr>
        <w:numPr>
          <w:ilvl w:val="0"/>
          <w:numId w:val="1"/>
        </w:numPr>
        <w:spacing w:before="120" w:after="120" w:line="313" w:lineRule="auto"/>
        <w:ind w:left="425"/>
        <w:jc w:val="both"/>
        <w:rPr>
          <w:sz w:val="20"/>
          <w:szCs w:val="20"/>
          <w:highlight w:val="white"/>
        </w:rPr>
      </w:pPr>
      <w:r w:rsidRPr="00F22B33">
        <w:rPr>
          <w:sz w:val="20"/>
          <w:szCs w:val="20"/>
          <w:highlight w:val="white"/>
        </w:rPr>
        <w:t>La base final para la región Patagónica cuenta con un total de 8.588 observaciones tal como se observa en la Tabla 3, integrando los primeros trimestres de 2005 (3229 observaciones) y 2025 (5359). En ambos años no se registran valores faltantes en la variable Pobre, lo que indica una correcta unificación y limpieza de la base. Se observa un aumento considerable en la cantidad de hogares pobres, que pasan de 623 en 2005 a 2.136 en 2025, reflejando un deterioro relativo en las condiciones económicas de la población. En total, la base cuenta con 43 variables homogéneas entre ambos períodos, lo que garantiza la comparabilidad de los análisis posteriores.</w:t>
      </w:r>
    </w:p>
    <w:p w14:paraId="08605D3D" w14:textId="6590F58A" w:rsidR="00F22B33" w:rsidRPr="00DB4F5A" w:rsidRDefault="00000000" w:rsidP="00DB4F5A">
      <w:pPr>
        <w:spacing w:before="120" w:after="120" w:line="313" w:lineRule="auto"/>
        <w:jc w:val="center"/>
        <w:rPr>
          <w:b/>
          <w:bCs/>
          <w:sz w:val="20"/>
          <w:szCs w:val="20"/>
          <w:highlight w:val="white"/>
        </w:rPr>
      </w:pPr>
      <w:r w:rsidRPr="00DB4F5A">
        <w:rPr>
          <w:b/>
          <w:bCs/>
          <w:sz w:val="20"/>
          <w:szCs w:val="20"/>
          <w:highlight w:val="white"/>
        </w:rPr>
        <w:t>Tabla</w:t>
      </w:r>
      <w:r w:rsidR="00DB4F5A">
        <w:rPr>
          <w:b/>
          <w:bCs/>
          <w:sz w:val="20"/>
          <w:szCs w:val="20"/>
          <w:highlight w:val="white"/>
        </w:rPr>
        <w:t xml:space="preserve"> |</w:t>
      </w:r>
      <w:r w:rsidRPr="00DB4F5A">
        <w:rPr>
          <w:b/>
          <w:bCs/>
          <w:sz w:val="20"/>
          <w:szCs w:val="20"/>
          <w:highlight w:val="white"/>
        </w:rPr>
        <w:t xml:space="preserve"> Resumen de la base final para la región patagónica.</w:t>
      </w:r>
    </w:p>
    <w:tbl>
      <w:tblPr>
        <w:tblStyle w:val="Tablaconcuadrcula"/>
        <w:tblW w:w="0" w:type="auto"/>
        <w:jc w:val="center"/>
        <w:tblLook w:val="04A0" w:firstRow="1" w:lastRow="0" w:firstColumn="1" w:lastColumn="0" w:noHBand="0" w:noVBand="1"/>
      </w:tblPr>
      <w:tblGrid>
        <w:gridCol w:w="5419"/>
        <w:gridCol w:w="717"/>
        <w:gridCol w:w="717"/>
        <w:gridCol w:w="717"/>
      </w:tblGrid>
      <w:tr w:rsidR="00776387" w:rsidRPr="00F22B33" w14:paraId="3B67F88B" w14:textId="77777777" w:rsidTr="00776387">
        <w:trPr>
          <w:trHeight w:val="341"/>
          <w:jc w:val="center"/>
        </w:trPr>
        <w:tc>
          <w:tcPr>
            <w:tcW w:w="0" w:type="auto"/>
          </w:tcPr>
          <w:p w14:paraId="42C0CA10" w14:textId="77777777" w:rsidR="00F22B33" w:rsidRPr="00F22B33" w:rsidRDefault="00F22B33" w:rsidP="002E2905">
            <w:pPr>
              <w:spacing w:line="312" w:lineRule="auto"/>
              <w:jc w:val="center"/>
              <w:rPr>
                <w:sz w:val="20"/>
                <w:szCs w:val="20"/>
                <w:highlight w:val="white"/>
              </w:rPr>
            </w:pPr>
          </w:p>
        </w:tc>
        <w:tc>
          <w:tcPr>
            <w:tcW w:w="0" w:type="auto"/>
          </w:tcPr>
          <w:p w14:paraId="7914B235" w14:textId="7B2CDF97" w:rsidR="00F22B33" w:rsidRPr="00F22B33" w:rsidRDefault="00F22B33" w:rsidP="002E2905">
            <w:pPr>
              <w:spacing w:line="312" w:lineRule="auto"/>
              <w:jc w:val="center"/>
              <w:rPr>
                <w:sz w:val="20"/>
                <w:szCs w:val="20"/>
                <w:highlight w:val="white"/>
              </w:rPr>
            </w:pPr>
            <w:r w:rsidRPr="00F22B33">
              <w:rPr>
                <w:sz w:val="20"/>
                <w:szCs w:val="20"/>
                <w:highlight w:val="white"/>
              </w:rPr>
              <w:t>2005</w:t>
            </w:r>
          </w:p>
        </w:tc>
        <w:tc>
          <w:tcPr>
            <w:tcW w:w="0" w:type="auto"/>
          </w:tcPr>
          <w:p w14:paraId="2A0598C3" w14:textId="41092D70" w:rsidR="00F22B33" w:rsidRPr="00F22B33" w:rsidRDefault="00F22B33" w:rsidP="002E2905">
            <w:pPr>
              <w:spacing w:line="312" w:lineRule="auto"/>
              <w:jc w:val="center"/>
              <w:rPr>
                <w:sz w:val="20"/>
                <w:szCs w:val="20"/>
                <w:highlight w:val="white"/>
              </w:rPr>
            </w:pPr>
            <w:r w:rsidRPr="00F22B33">
              <w:rPr>
                <w:sz w:val="20"/>
                <w:szCs w:val="20"/>
                <w:highlight w:val="white"/>
              </w:rPr>
              <w:t>2025</w:t>
            </w:r>
          </w:p>
        </w:tc>
        <w:tc>
          <w:tcPr>
            <w:tcW w:w="0" w:type="auto"/>
          </w:tcPr>
          <w:p w14:paraId="33C22DE8" w14:textId="6AD218FF" w:rsidR="00F22B33" w:rsidRPr="00F22B33" w:rsidRDefault="00F22B33" w:rsidP="002E2905">
            <w:pPr>
              <w:spacing w:line="312" w:lineRule="auto"/>
              <w:jc w:val="center"/>
              <w:rPr>
                <w:sz w:val="20"/>
                <w:szCs w:val="20"/>
                <w:highlight w:val="white"/>
              </w:rPr>
            </w:pPr>
            <w:r w:rsidRPr="00F22B33">
              <w:rPr>
                <w:sz w:val="20"/>
                <w:szCs w:val="20"/>
                <w:highlight w:val="white"/>
              </w:rPr>
              <w:t>Total</w:t>
            </w:r>
          </w:p>
        </w:tc>
      </w:tr>
      <w:tr w:rsidR="00776387" w:rsidRPr="00F22B33" w14:paraId="6BBF77ED" w14:textId="77777777" w:rsidTr="00776387">
        <w:trPr>
          <w:trHeight w:val="347"/>
          <w:jc w:val="center"/>
        </w:trPr>
        <w:tc>
          <w:tcPr>
            <w:tcW w:w="0" w:type="auto"/>
          </w:tcPr>
          <w:p w14:paraId="1EB6CF7B" w14:textId="481F16E7" w:rsidR="00F22B33" w:rsidRPr="00F22B33" w:rsidRDefault="00F22B33" w:rsidP="002E2905">
            <w:pPr>
              <w:spacing w:line="312" w:lineRule="auto"/>
              <w:rPr>
                <w:sz w:val="20"/>
                <w:szCs w:val="20"/>
                <w:highlight w:val="white"/>
              </w:rPr>
            </w:pPr>
            <w:r w:rsidRPr="00F22B33">
              <w:rPr>
                <w:sz w:val="20"/>
                <w:szCs w:val="20"/>
                <w:highlight w:val="white"/>
              </w:rPr>
              <w:t>Cantidad de observaciones</w:t>
            </w:r>
          </w:p>
        </w:tc>
        <w:tc>
          <w:tcPr>
            <w:tcW w:w="0" w:type="auto"/>
            <w:vAlign w:val="center"/>
          </w:tcPr>
          <w:p w14:paraId="66425322" w14:textId="3891B0AF" w:rsidR="00F22B33" w:rsidRPr="00F22B33" w:rsidRDefault="00F22B33" w:rsidP="002E2905">
            <w:pPr>
              <w:spacing w:line="312" w:lineRule="auto"/>
              <w:jc w:val="center"/>
              <w:rPr>
                <w:sz w:val="20"/>
                <w:szCs w:val="20"/>
                <w:highlight w:val="white"/>
              </w:rPr>
            </w:pPr>
            <w:r w:rsidRPr="00F22B33">
              <w:rPr>
                <w:sz w:val="20"/>
                <w:szCs w:val="20"/>
                <w:highlight w:val="white"/>
              </w:rPr>
              <w:t>3.229</w:t>
            </w:r>
          </w:p>
        </w:tc>
        <w:tc>
          <w:tcPr>
            <w:tcW w:w="0" w:type="auto"/>
            <w:vAlign w:val="center"/>
          </w:tcPr>
          <w:p w14:paraId="197C3B10" w14:textId="4833F793" w:rsidR="00F22B33" w:rsidRPr="00F22B33" w:rsidRDefault="00F22B33" w:rsidP="002E2905">
            <w:pPr>
              <w:spacing w:line="312" w:lineRule="auto"/>
              <w:jc w:val="center"/>
              <w:rPr>
                <w:sz w:val="20"/>
                <w:szCs w:val="20"/>
                <w:highlight w:val="white"/>
              </w:rPr>
            </w:pPr>
            <w:r w:rsidRPr="00F22B33">
              <w:rPr>
                <w:sz w:val="20"/>
                <w:szCs w:val="20"/>
                <w:highlight w:val="white"/>
              </w:rPr>
              <w:t>5.359</w:t>
            </w:r>
          </w:p>
        </w:tc>
        <w:tc>
          <w:tcPr>
            <w:tcW w:w="0" w:type="auto"/>
            <w:vAlign w:val="center"/>
          </w:tcPr>
          <w:p w14:paraId="4DF28404" w14:textId="0CAD9F9E" w:rsidR="00F22B33" w:rsidRPr="00F22B33" w:rsidRDefault="00F22B33" w:rsidP="002E2905">
            <w:pPr>
              <w:spacing w:line="312" w:lineRule="auto"/>
              <w:jc w:val="center"/>
              <w:rPr>
                <w:sz w:val="20"/>
                <w:szCs w:val="20"/>
                <w:highlight w:val="white"/>
              </w:rPr>
            </w:pPr>
            <w:r w:rsidRPr="00F22B33">
              <w:rPr>
                <w:sz w:val="20"/>
                <w:szCs w:val="20"/>
                <w:highlight w:val="white"/>
              </w:rPr>
              <w:t>8.588</w:t>
            </w:r>
          </w:p>
        </w:tc>
      </w:tr>
      <w:tr w:rsidR="00776387" w:rsidRPr="00F22B33" w14:paraId="3611AEBE" w14:textId="77777777" w:rsidTr="00776387">
        <w:trPr>
          <w:trHeight w:val="341"/>
          <w:jc w:val="center"/>
        </w:trPr>
        <w:tc>
          <w:tcPr>
            <w:tcW w:w="0" w:type="auto"/>
          </w:tcPr>
          <w:p w14:paraId="2B689D36" w14:textId="6BBE7BD3" w:rsidR="00F22B33" w:rsidRPr="00F22B33" w:rsidRDefault="00F22B33" w:rsidP="002E2905">
            <w:pPr>
              <w:spacing w:line="312" w:lineRule="auto"/>
              <w:rPr>
                <w:sz w:val="20"/>
                <w:szCs w:val="20"/>
                <w:highlight w:val="white"/>
              </w:rPr>
            </w:pPr>
            <w:r w:rsidRPr="00F22B33">
              <w:rPr>
                <w:sz w:val="20"/>
                <w:szCs w:val="20"/>
                <w:highlight w:val="white"/>
              </w:rPr>
              <w:t>Cantidad de observaciones con NAs en la variable “Pobre”</w:t>
            </w:r>
          </w:p>
        </w:tc>
        <w:tc>
          <w:tcPr>
            <w:tcW w:w="0" w:type="auto"/>
            <w:vAlign w:val="center"/>
          </w:tcPr>
          <w:p w14:paraId="6763D97C" w14:textId="16D2D721" w:rsidR="00F22B33" w:rsidRPr="00F22B33" w:rsidRDefault="00F22B33" w:rsidP="002E2905">
            <w:pPr>
              <w:spacing w:line="312" w:lineRule="auto"/>
              <w:jc w:val="center"/>
              <w:rPr>
                <w:sz w:val="20"/>
                <w:szCs w:val="20"/>
                <w:highlight w:val="white"/>
              </w:rPr>
            </w:pPr>
            <w:r w:rsidRPr="00F22B33">
              <w:rPr>
                <w:sz w:val="20"/>
                <w:szCs w:val="20"/>
                <w:highlight w:val="white"/>
              </w:rPr>
              <w:t>0</w:t>
            </w:r>
          </w:p>
        </w:tc>
        <w:tc>
          <w:tcPr>
            <w:tcW w:w="0" w:type="auto"/>
            <w:vAlign w:val="center"/>
          </w:tcPr>
          <w:p w14:paraId="7C9B6513" w14:textId="3193C483" w:rsidR="00F22B33" w:rsidRPr="00F22B33" w:rsidRDefault="00F22B33" w:rsidP="002E2905">
            <w:pPr>
              <w:spacing w:line="312" w:lineRule="auto"/>
              <w:jc w:val="center"/>
              <w:rPr>
                <w:sz w:val="20"/>
                <w:szCs w:val="20"/>
                <w:highlight w:val="white"/>
              </w:rPr>
            </w:pPr>
            <w:r w:rsidRPr="00F22B33">
              <w:rPr>
                <w:sz w:val="20"/>
                <w:szCs w:val="20"/>
                <w:highlight w:val="white"/>
              </w:rPr>
              <w:t>0</w:t>
            </w:r>
          </w:p>
        </w:tc>
        <w:tc>
          <w:tcPr>
            <w:tcW w:w="0" w:type="auto"/>
            <w:vAlign w:val="center"/>
          </w:tcPr>
          <w:p w14:paraId="708193D8" w14:textId="0CE69FEC" w:rsidR="00F22B33" w:rsidRPr="00F22B33" w:rsidRDefault="00F22B33" w:rsidP="002E2905">
            <w:pPr>
              <w:spacing w:line="312" w:lineRule="auto"/>
              <w:jc w:val="center"/>
              <w:rPr>
                <w:sz w:val="20"/>
                <w:szCs w:val="20"/>
                <w:highlight w:val="white"/>
              </w:rPr>
            </w:pPr>
            <w:r w:rsidRPr="00F22B33">
              <w:rPr>
                <w:sz w:val="20"/>
                <w:szCs w:val="20"/>
                <w:highlight w:val="white"/>
              </w:rPr>
              <w:t>0</w:t>
            </w:r>
          </w:p>
        </w:tc>
      </w:tr>
      <w:tr w:rsidR="00776387" w:rsidRPr="00F22B33" w14:paraId="7C4A031B" w14:textId="77777777" w:rsidTr="00776387">
        <w:trPr>
          <w:trHeight w:val="341"/>
          <w:jc w:val="center"/>
        </w:trPr>
        <w:tc>
          <w:tcPr>
            <w:tcW w:w="0" w:type="auto"/>
          </w:tcPr>
          <w:p w14:paraId="5F6990CE" w14:textId="05A13AAD" w:rsidR="00F22B33" w:rsidRPr="00F22B33" w:rsidRDefault="00F22B33" w:rsidP="002E2905">
            <w:pPr>
              <w:spacing w:line="312" w:lineRule="auto"/>
              <w:rPr>
                <w:sz w:val="20"/>
                <w:szCs w:val="20"/>
                <w:highlight w:val="white"/>
              </w:rPr>
            </w:pPr>
            <w:r w:rsidRPr="00F22B33">
              <w:rPr>
                <w:sz w:val="20"/>
                <w:szCs w:val="20"/>
                <w:highlight w:val="white"/>
              </w:rPr>
              <w:t>Cantidad de pobres</w:t>
            </w:r>
          </w:p>
        </w:tc>
        <w:tc>
          <w:tcPr>
            <w:tcW w:w="0" w:type="auto"/>
            <w:vAlign w:val="center"/>
          </w:tcPr>
          <w:p w14:paraId="6FE50A3F" w14:textId="0691DB68" w:rsidR="00F22B33" w:rsidRPr="00F22B33" w:rsidRDefault="00F22B33" w:rsidP="002E2905">
            <w:pPr>
              <w:spacing w:line="312" w:lineRule="auto"/>
              <w:jc w:val="center"/>
              <w:rPr>
                <w:sz w:val="20"/>
                <w:szCs w:val="20"/>
                <w:highlight w:val="white"/>
              </w:rPr>
            </w:pPr>
            <w:r w:rsidRPr="00F22B33">
              <w:rPr>
                <w:sz w:val="20"/>
                <w:szCs w:val="20"/>
                <w:highlight w:val="white"/>
              </w:rPr>
              <w:t>623</w:t>
            </w:r>
          </w:p>
        </w:tc>
        <w:tc>
          <w:tcPr>
            <w:tcW w:w="0" w:type="auto"/>
            <w:vAlign w:val="center"/>
          </w:tcPr>
          <w:p w14:paraId="40C703CE" w14:textId="74F96AA9" w:rsidR="00F22B33" w:rsidRPr="00F22B33" w:rsidRDefault="00F22B33" w:rsidP="002E2905">
            <w:pPr>
              <w:spacing w:line="312" w:lineRule="auto"/>
              <w:jc w:val="center"/>
              <w:rPr>
                <w:sz w:val="20"/>
                <w:szCs w:val="20"/>
                <w:highlight w:val="white"/>
              </w:rPr>
            </w:pPr>
            <w:r w:rsidRPr="00F22B33">
              <w:rPr>
                <w:sz w:val="20"/>
                <w:szCs w:val="20"/>
                <w:highlight w:val="white"/>
              </w:rPr>
              <w:t>2.136</w:t>
            </w:r>
          </w:p>
        </w:tc>
        <w:tc>
          <w:tcPr>
            <w:tcW w:w="0" w:type="auto"/>
            <w:vAlign w:val="center"/>
          </w:tcPr>
          <w:p w14:paraId="2DE9C57C" w14:textId="7BD1225F" w:rsidR="00F22B33" w:rsidRPr="00F22B33" w:rsidRDefault="00F22B33" w:rsidP="002E2905">
            <w:pPr>
              <w:spacing w:line="312" w:lineRule="auto"/>
              <w:jc w:val="center"/>
              <w:rPr>
                <w:sz w:val="20"/>
                <w:szCs w:val="20"/>
                <w:highlight w:val="white"/>
              </w:rPr>
            </w:pPr>
            <w:r w:rsidRPr="00F22B33">
              <w:rPr>
                <w:sz w:val="20"/>
                <w:szCs w:val="20"/>
                <w:highlight w:val="white"/>
              </w:rPr>
              <w:t>2.759</w:t>
            </w:r>
          </w:p>
        </w:tc>
      </w:tr>
      <w:tr w:rsidR="00776387" w:rsidRPr="00F22B33" w14:paraId="018C1B57" w14:textId="77777777" w:rsidTr="00776387">
        <w:trPr>
          <w:trHeight w:val="341"/>
          <w:jc w:val="center"/>
        </w:trPr>
        <w:tc>
          <w:tcPr>
            <w:tcW w:w="0" w:type="auto"/>
          </w:tcPr>
          <w:p w14:paraId="3E661393" w14:textId="1554BD6A" w:rsidR="00F22B33" w:rsidRPr="00F22B33" w:rsidRDefault="00F22B33" w:rsidP="002E2905">
            <w:pPr>
              <w:spacing w:line="312" w:lineRule="auto"/>
              <w:rPr>
                <w:sz w:val="20"/>
                <w:szCs w:val="20"/>
                <w:highlight w:val="white"/>
              </w:rPr>
            </w:pPr>
            <w:r w:rsidRPr="00F22B33">
              <w:rPr>
                <w:sz w:val="20"/>
                <w:szCs w:val="20"/>
                <w:highlight w:val="white"/>
              </w:rPr>
              <w:t>Cantidad de no pobres</w:t>
            </w:r>
          </w:p>
        </w:tc>
        <w:tc>
          <w:tcPr>
            <w:tcW w:w="0" w:type="auto"/>
            <w:vAlign w:val="center"/>
          </w:tcPr>
          <w:p w14:paraId="6D09D67A" w14:textId="1F7DB920" w:rsidR="00F22B33" w:rsidRPr="00F22B33" w:rsidRDefault="00F22B33" w:rsidP="002E2905">
            <w:pPr>
              <w:spacing w:line="312" w:lineRule="auto"/>
              <w:jc w:val="center"/>
              <w:rPr>
                <w:sz w:val="20"/>
                <w:szCs w:val="20"/>
                <w:highlight w:val="white"/>
              </w:rPr>
            </w:pPr>
            <w:r w:rsidRPr="00F22B33">
              <w:rPr>
                <w:sz w:val="20"/>
                <w:szCs w:val="20"/>
                <w:highlight w:val="white"/>
              </w:rPr>
              <w:t>2.606</w:t>
            </w:r>
          </w:p>
        </w:tc>
        <w:tc>
          <w:tcPr>
            <w:tcW w:w="0" w:type="auto"/>
            <w:vAlign w:val="center"/>
          </w:tcPr>
          <w:p w14:paraId="2D75EBA0" w14:textId="7B25D215" w:rsidR="00F22B33" w:rsidRPr="00F22B33" w:rsidRDefault="00F22B33" w:rsidP="002E2905">
            <w:pPr>
              <w:spacing w:line="312" w:lineRule="auto"/>
              <w:jc w:val="center"/>
              <w:rPr>
                <w:sz w:val="20"/>
                <w:szCs w:val="20"/>
                <w:highlight w:val="white"/>
              </w:rPr>
            </w:pPr>
            <w:r w:rsidRPr="00F22B33">
              <w:rPr>
                <w:sz w:val="20"/>
                <w:szCs w:val="20"/>
                <w:highlight w:val="white"/>
              </w:rPr>
              <w:t>3.223</w:t>
            </w:r>
          </w:p>
        </w:tc>
        <w:tc>
          <w:tcPr>
            <w:tcW w:w="0" w:type="auto"/>
            <w:vAlign w:val="center"/>
          </w:tcPr>
          <w:p w14:paraId="1FDD22C8" w14:textId="21209CA3" w:rsidR="00F22B33" w:rsidRPr="00F22B33" w:rsidRDefault="00F22B33" w:rsidP="002E2905">
            <w:pPr>
              <w:spacing w:line="312" w:lineRule="auto"/>
              <w:jc w:val="center"/>
              <w:rPr>
                <w:sz w:val="20"/>
                <w:szCs w:val="20"/>
                <w:highlight w:val="white"/>
              </w:rPr>
            </w:pPr>
            <w:r w:rsidRPr="00F22B33">
              <w:rPr>
                <w:sz w:val="20"/>
                <w:szCs w:val="20"/>
                <w:highlight w:val="white"/>
              </w:rPr>
              <w:t>5.829</w:t>
            </w:r>
          </w:p>
        </w:tc>
      </w:tr>
      <w:tr w:rsidR="00776387" w:rsidRPr="00F22B33" w14:paraId="4D02442A" w14:textId="77777777" w:rsidTr="00776387">
        <w:trPr>
          <w:trHeight w:val="335"/>
          <w:jc w:val="center"/>
        </w:trPr>
        <w:tc>
          <w:tcPr>
            <w:tcW w:w="0" w:type="auto"/>
          </w:tcPr>
          <w:p w14:paraId="7701936C" w14:textId="6EF358AE" w:rsidR="00F22B33" w:rsidRPr="00F22B33" w:rsidRDefault="00F22B33" w:rsidP="002E2905">
            <w:pPr>
              <w:spacing w:line="312" w:lineRule="auto"/>
              <w:rPr>
                <w:sz w:val="20"/>
                <w:szCs w:val="20"/>
                <w:highlight w:val="white"/>
              </w:rPr>
            </w:pPr>
            <w:r w:rsidRPr="00F22B33">
              <w:rPr>
                <w:sz w:val="20"/>
                <w:szCs w:val="20"/>
                <w:highlight w:val="white"/>
              </w:rPr>
              <w:t>Cantidad de variables limpias y homogeneizadas</w:t>
            </w:r>
          </w:p>
        </w:tc>
        <w:tc>
          <w:tcPr>
            <w:tcW w:w="0" w:type="auto"/>
            <w:vAlign w:val="center"/>
          </w:tcPr>
          <w:p w14:paraId="128186A2" w14:textId="3C52B059" w:rsidR="00F22B33" w:rsidRPr="00F22B33" w:rsidRDefault="00F22B33" w:rsidP="002E2905">
            <w:pPr>
              <w:spacing w:line="312" w:lineRule="auto"/>
              <w:jc w:val="center"/>
              <w:rPr>
                <w:sz w:val="20"/>
                <w:szCs w:val="20"/>
                <w:highlight w:val="white"/>
              </w:rPr>
            </w:pPr>
            <w:r w:rsidRPr="00F22B33">
              <w:rPr>
                <w:sz w:val="20"/>
                <w:szCs w:val="20"/>
                <w:highlight w:val="white"/>
              </w:rPr>
              <w:t>43</w:t>
            </w:r>
          </w:p>
        </w:tc>
        <w:tc>
          <w:tcPr>
            <w:tcW w:w="0" w:type="auto"/>
            <w:vAlign w:val="center"/>
          </w:tcPr>
          <w:p w14:paraId="0E169F30" w14:textId="4B441874" w:rsidR="00F22B33" w:rsidRPr="00F22B33" w:rsidRDefault="00F22B33" w:rsidP="002E2905">
            <w:pPr>
              <w:spacing w:line="312" w:lineRule="auto"/>
              <w:jc w:val="center"/>
              <w:rPr>
                <w:sz w:val="20"/>
                <w:szCs w:val="20"/>
                <w:highlight w:val="white"/>
              </w:rPr>
            </w:pPr>
            <w:r w:rsidRPr="00F22B33">
              <w:rPr>
                <w:sz w:val="20"/>
                <w:szCs w:val="20"/>
                <w:highlight w:val="white"/>
              </w:rPr>
              <w:t>43</w:t>
            </w:r>
          </w:p>
        </w:tc>
        <w:tc>
          <w:tcPr>
            <w:tcW w:w="0" w:type="auto"/>
            <w:vAlign w:val="center"/>
          </w:tcPr>
          <w:p w14:paraId="14E5BFF8" w14:textId="0E6AF6FB" w:rsidR="00F22B33" w:rsidRPr="00F22B33" w:rsidRDefault="00F22B33" w:rsidP="002E2905">
            <w:pPr>
              <w:spacing w:line="312" w:lineRule="auto"/>
              <w:jc w:val="center"/>
              <w:rPr>
                <w:sz w:val="20"/>
                <w:szCs w:val="20"/>
                <w:highlight w:val="white"/>
              </w:rPr>
            </w:pPr>
            <w:r w:rsidRPr="00F22B33">
              <w:rPr>
                <w:sz w:val="20"/>
                <w:szCs w:val="20"/>
                <w:highlight w:val="white"/>
              </w:rPr>
              <w:t>43</w:t>
            </w:r>
          </w:p>
        </w:tc>
      </w:tr>
    </w:tbl>
    <w:p w14:paraId="4AB0188B" w14:textId="77777777" w:rsidR="002E2905" w:rsidRDefault="002E2905" w:rsidP="00DB4F5A">
      <w:pPr>
        <w:spacing w:before="120" w:after="120"/>
        <w:jc w:val="both"/>
        <w:rPr>
          <w:b/>
          <w:sz w:val="20"/>
          <w:szCs w:val="20"/>
        </w:rPr>
      </w:pPr>
    </w:p>
    <w:p w14:paraId="03362DA7" w14:textId="77777777" w:rsidR="002E2905" w:rsidRDefault="002E2905">
      <w:pPr>
        <w:rPr>
          <w:b/>
          <w:sz w:val="20"/>
          <w:szCs w:val="20"/>
        </w:rPr>
      </w:pPr>
      <w:r>
        <w:rPr>
          <w:b/>
          <w:sz w:val="20"/>
          <w:szCs w:val="20"/>
        </w:rPr>
        <w:br w:type="page"/>
      </w:r>
    </w:p>
    <w:p w14:paraId="2FA9057C" w14:textId="60AA601D" w:rsidR="001D0E7A" w:rsidRPr="00DB4F5A" w:rsidRDefault="00000000" w:rsidP="00DB4F5A">
      <w:pPr>
        <w:spacing w:before="120" w:after="120"/>
        <w:jc w:val="both"/>
        <w:rPr>
          <w:b/>
          <w:sz w:val="20"/>
          <w:szCs w:val="20"/>
        </w:rPr>
      </w:pPr>
      <w:r w:rsidRPr="00F22B33">
        <w:rPr>
          <w:b/>
          <w:sz w:val="20"/>
          <w:szCs w:val="20"/>
        </w:rPr>
        <w:lastRenderedPageBreak/>
        <w:t>Parte II</w:t>
      </w:r>
    </w:p>
    <w:p w14:paraId="6687F4CA" w14:textId="77777777" w:rsidR="002E2905" w:rsidRDefault="00000000" w:rsidP="002E2905">
      <w:pPr>
        <w:numPr>
          <w:ilvl w:val="0"/>
          <w:numId w:val="2"/>
        </w:numPr>
        <w:spacing w:before="120" w:after="120"/>
        <w:jc w:val="both"/>
        <w:rPr>
          <w:sz w:val="20"/>
          <w:szCs w:val="20"/>
        </w:rPr>
      </w:pPr>
      <w:r w:rsidRPr="00F22B33">
        <w:rPr>
          <w:sz w:val="20"/>
          <w:szCs w:val="20"/>
        </w:rPr>
        <w:t>Tal como se ve en la Figura 3, la matriz de correlaciones muestra una relación muy fuerte y positiva entre edad y edad</w:t>
      </w:r>
      <w:r w:rsidRPr="00F22B33">
        <w:rPr>
          <w:sz w:val="20"/>
          <w:szCs w:val="20"/>
          <w:vertAlign w:val="superscript"/>
        </w:rPr>
        <w:t>2</w:t>
      </w:r>
      <w:r w:rsidRPr="00F22B33">
        <w:rPr>
          <w:sz w:val="20"/>
          <w:szCs w:val="20"/>
        </w:rPr>
        <w:t xml:space="preserve">, como era esperable por construcción. También se observa una correlación </w:t>
      </w:r>
      <w:r w:rsidR="00F22B33" w:rsidRPr="00F22B33">
        <w:rPr>
          <w:sz w:val="20"/>
          <w:szCs w:val="20"/>
        </w:rPr>
        <w:t>positiva</w:t>
      </w:r>
      <w:r w:rsidRPr="00F22B33">
        <w:rPr>
          <w:sz w:val="20"/>
          <w:szCs w:val="20"/>
        </w:rPr>
        <w:t xml:space="preserve"> </w:t>
      </w:r>
      <w:r w:rsidR="00F22B33" w:rsidRPr="00F22B33">
        <w:rPr>
          <w:sz w:val="20"/>
          <w:szCs w:val="20"/>
        </w:rPr>
        <w:t>–</w:t>
      </w:r>
      <w:r w:rsidRPr="00F22B33">
        <w:rPr>
          <w:sz w:val="20"/>
          <w:szCs w:val="20"/>
        </w:rPr>
        <w:t>aunque moderada</w:t>
      </w:r>
      <w:r w:rsidR="00F22B33" w:rsidRPr="00F22B33">
        <w:rPr>
          <w:sz w:val="20"/>
          <w:szCs w:val="20"/>
        </w:rPr>
        <w:t>–</w:t>
      </w:r>
      <w:r w:rsidRPr="00F22B33">
        <w:rPr>
          <w:sz w:val="20"/>
          <w:szCs w:val="20"/>
        </w:rPr>
        <w:t xml:space="preserve"> entre los años de educación, el ingreso familiar total y las horas trabajadas, lo que sugiere que mayores niveles educativos y mayor tiempo de trabajo se asocian con mayores ingresos. En cambio, la cantidad de miembros del hogar presenta correlaciones negativas y leves con las demás variables, lo que indica que los hogares más numerosos no necesariamente poseen mayores niveles de ingreso o educación.</w:t>
      </w:r>
    </w:p>
    <w:p w14:paraId="2E5F2201" w14:textId="75695FAA" w:rsidR="002E2905" w:rsidRDefault="002E2905" w:rsidP="002E2905">
      <w:pPr>
        <w:spacing w:before="120" w:after="120"/>
        <w:ind w:left="720"/>
        <w:jc w:val="center"/>
        <w:rPr>
          <w:b/>
          <w:bCs/>
          <w:sz w:val="20"/>
          <w:szCs w:val="20"/>
        </w:rPr>
      </w:pPr>
      <w:r w:rsidRPr="002E2905">
        <w:rPr>
          <w:b/>
          <w:bCs/>
          <w:sz w:val="20"/>
          <w:szCs w:val="20"/>
        </w:rPr>
        <w:t>Figura 3 | Matriz de correlaciones de los predictores de la región patagónica</w:t>
      </w:r>
    </w:p>
    <w:p w14:paraId="1BA4B747" w14:textId="6FF7C4DB" w:rsidR="002E2905" w:rsidRPr="002E2905" w:rsidRDefault="002E2905" w:rsidP="002E2905">
      <w:pPr>
        <w:spacing w:before="120" w:after="120"/>
        <w:ind w:left="720"/>
        <w:jc w:val="center"/>
        <w:rPr>
          <w:sz w:val="20"/>
          <w:szCs w:val="20"/>
        </w:rPr>
      </w:pPr>
      <w:r w:rsidRPr="00F33ED6">
        <w:rPr>
          <w:noProof/>
          <w:sz w:val="20"/>
          <w:szCs w:val="20"/>
        </w:rPr>
        <w:drawing>
          <wp:inline distT="0" distB="0" distL="0" distR="0" wp14:anchorId="0F480B75" wp14:editId="59CB32CA">
            <wp:extent cx="1959610" cy="1997710"/>
            <wp:effectExtent l="0" t="0" r="2540" b="2540"/>
            <wp:docPr id="8300157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015783"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59610" cy="1997710"/>
                    </a:xfrm>
                    <a:prstGeom prst="rect">
                      <a:avLst/>
                    </a:prstGeom>
                  </pic:spPr>
                </pic:pic>
              </a:graphicData>
            </a:graphic>
          </wp:inline>
        </w:drawing>
      </w:r>
    </w:p>
    <w:p w14:paraId="12EF0B92" w14:textId="61E83B82" w:rsidR="001D0E7A" w:rsidRPr="00DB4F5A" w:rsidRDefault="00000000" w:rsidP="00DB4F5A">
      <w:pPr>
        <w:numPr>
          <w:ilvl w:val="0"/>
          <w:numId w:val="2"/>
        </w:numPr>
        <w:spacing w:before="120" w:after="120"/>
        <w:jc w:val="both"/>
        <w:rPr>
          <w:sz w:val="20"/>
          <w:szCs w:val="20"/>
        </w:rPr>
      </w:pPr>
      <w:r w:rsidRPr="00F22B33">
        <w:rPr>
          <w:sz w:val="20"/>
          <w:szCs w:val="20"/>
        </w:rPr>
        <w:t>El gráfico de dispersión de los dos primeros componentes principales muestra una nube de puntos concentrada alrededor del origen, con una mayor dispersión sobre el eje del primer componente. Esto sugiere que el primer componente captura la mayor parte de la variabilidad de las variables originales, mientras que el segundo agrega información complementaria, aunque de menor peso en términos comparativos. Adicionalmente, en la Figura 4, no se observan agrupamientos claramente definidos, lo que indica que las dimensiones reducidas del PCA no separan de manera evidente a los individuos según sus características socioeconómicas.</w:t>
      </w:r>
    </w:p>
    <w:p w14:paraId="779B9B14" w14:textId="5E6666AD" w:rsidR="001D0E7A" w:rsidRPr="00DB4F5A" w:rsidRDefault="00000000" w:rsidP="00DB4F5A">
      <w:pPr>
        <w:spacing w:before="120" w:after="120"/>
        <w:jc w:val="center"/>
        <w:rPr>
          <w:b/>
          <w:bCs/>
          <w:sz w:val="20"/>
          <w:szCs w:val="20"/>
        </w:rPr>
      </w:pPr>
      <w:r w:rsidRPr="00DB4F5A">
        <w:rPr>
          <w:b/>
          <w:bCs/>
          <w:sz w:val="20"/>
          <w:szCs w:val="20"/>
        </w:rPr>
        <w:t>Figura 4</w:t>
      </w:r>
      <w:r w:rsidR="00DB4F5A">
        <w:rPr>
          <w:b/>
          <w:bCs/>
          <w:sz w:val="20"/>
          <w:szCs w:val="20"/>
        </w:rPr>
        <w:t xml:space="preserve"> |</w:t>
      </w:r>
      <w:r w:rsidRPr="00DB4F5A">
        <w:rPr>
          <w:b/>
          <w:bCs/>
          <w:sz w:val="20"/>
          <w:szCs w:val="20"/>
        </w:rPr>
        <w:t xml:space="preserve"> Gráfico de dispersión de los componentes principales.</w:t>
      </w:r>
    </w:p>
    <w:p w14:paraId="4A60C187" w14:textId="69C58558" w:rsidR="001D0E7A" w:rsidRPr="00F22B33" w:rsidRDefault="00F33ED6" w:rsidP="00DB4F5A">
      <w:pPr>
        <w:spacing w:before="120" w:after="120"/>
        <w:jc w:val="center"/>
        <w:rPr>
          <w:b/>
          <w:sz w:val="20"/>
          <w:szCs w:val="20"/>
        </w:rPr>
      </w:pPr>
      <w:r w:rsidRPr="00F33ED6">
        <w:rPr>
          <w:b/>
          <w:noProof/>
          <w:sz w:val="20"/>
          <w:szCs w:val="20"/>
        </w:rPr>
        <w:drawing>
          <wp:inline distT="0" distB="0" distL="0" distR="0" wp14:anchorId="599972C9" wp14:editId="34EE2B93">
            <wp:extent cx="2415600" cy="1996953"/>
            <wp:effectExtent l="0" t="0" r="3810" b="3810"/>
            <wp:docPr id="16942870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287061" name=""/>
                    <pic:cNvPicPr/>
                  </pic:nvPicPr>
                  <pic:blipFill>
                    <a:blip r:embed="rId15"/>
                    <a:stretch>
                      <a:fillRect/>
                    </a:stretch>
                  </pic:blipFill>
                  <pic:spPr>
                    <a:xfrm>
                      <a:off x="0" y="0"/>
                      <a:ext cx="2415600" cy="1996953"/>
                    </a:xfrm>
                    <a:prstGeom prst="rect">
                      <a:avLst/>
                    </a:prstGeom>
                  </pic:spPr>
                </pic:pic>
              </a:graphicData>
            </a:graphic>
          </wp:inline>
        </w:drawing>
      </w:r>
    </w:p>
    <w:p w14:paraId="34152BF6" w14:textId="503DD29F" w:rsidR="002E2905" w:rsidRDefault="00000000" w:rsidP="00DB4F5A">
      <w:pPr>
        <w:numPr>
          <w:ilvl w:val="0"/>
          <w:numId w:val="2"/>
        </w:numPr>
        <w:spacing w:before="120" w:after="120"/>
        <w:jc w:val="both"/>
        <w:rPr>
          <w:sz w:val="20"/>
          <w:szCs w:val="20"/>
        </w:rPr>
      </w:pPr>
      <w:r w:rsidRPr="00F22B33">
        <w:rPr>
          <w:sz w:val="20"/>
          <w:szCs w:val="20"/>
        </w:rPr>
        <w:t xml:space="preserve">En la Figura 5, se ve el gráfico de ponderadores. Lo que se observa es que el primer componente principal (que explica el 43% de la varianza) se encuentra fuertemente influenciado por las variables </w:t>
      </w:r>
      <w:r w:rsidRPr="00F22B33">
        <w:rPr>
          <w:i/>
          <w:sz w:val="20"/>
          <w:szCs w:val="20"/>
        </w:rPr>
        <w:t>Edad</w:t>
      </w:r>
      <w:r w:rsidRPr="00F22B33">
        <w:rPr>
          <w:sz w:val="20"/>
          <w:szCs w:val="20"/>
          <w:vertAlign w:val="superscript"/>
        </w:rPr>
        <w:t>2</w:t>
      </w:r>
      <w:r w:rsidRPr="00F22B33">
        <w:rPr>
          <w:sz w:val="20"/>
          <w:szCs w:val="20"/>
        </w:rPr>
        <w:t xml:space="preserve"> y, en menor medida, por los años de </w:t>
      </w:r>
      <w:r w:rsidRPr="00F22B33">
        <w:rPr>
          <w:i/>
          <w:sz w:val="20"/>
          <w:szCs w:val="20"/>
        </w:rPr>
        <w:t>Educación</w:t>
      </w:r>
      <w:r w:rsidRPr="00F22B33">
        <w:rPr>
          <w:sz w:val="20"/>
          <w:szCs w:val="20"/>
        </w:rPr>
        <w:t xml:space="preserve"> y la </w:t>
      </w:r>
      <w:r w:rsidRPr="00F22B33">
        <w:rPr>
          <w:i/>
          <w:sz w:val="20"/>
          <w:szCs w:val="20"/>
        </w:rPr>
        <w:t>Cantidad de miembros del hogar</w:t>
      </w:r>
      <w:r w:rsidRPr="00F22B33">
        <w:rPr>
          <w:sz w:val="20"/>
          <w:szCs w:val="20"/>
        </w:rPr>
        <w:t xml:space="preserve">. En cambio, el segundo componente (que explica el 20% de la varianza), está más vinculado con las variables </w:t>
      </w:r>
      <w:r w:rsidRPr="00F22B33">
        <w:rPr>
          <w:i/>
          <w:sz w:val="20"/>
          <w:szCs w:val="20"/>
        </w:rPr>
        <w:t>Ingreso total familiar</w:t>
      </w:r>
      <w:r w:rsidRPr="00F22B33">
        <w:rPr>
          <w:sz w:val="20"/>
          <w:szCs w:val="20"/>
        </w:rPr>
        <w:t xml:space="preserve"> y </w:t>
      </w:r>
      <w:r w:rsidRPr="00F22B33">
        <w:rPr>
          <w:i/>
          <w:sz w:val="20"/>
          <w:szCs w:val="20"/>
        </w:rPr>
        <w:t>Horas trabajadas</w:t>
      </w:r>
      <w:r w:rsidRPr="00F22B33">
        <w:rPr>
          <w:sz w:val="20"/>
          <w:szCs w:val="20"/>
        </w:rPr>
        <w:t>. La dirección y longitud de las flechas indican la importancia relativa de cada variable en la construcción de los componentes (cuanto más larga, mayor es el peso en la explicación de la varianza). En conjunto, sintetizan la información socioeconómica del conjunto de datos en 2 dimensiones principales.</w:t>
      </w:r>
    </w:p>
    <w:p w14:paraId="2B44571B" w14:textId="6ABD2AC3" w:rsidR="001D0E7A" w:rsidRPr="00DB4F5A" w:rsidRDefault="00000000" w:rsidP="00DB4F5A">
      <w:pPr>
        <w:spacing w:before="120" w:after="120"/>
        <w:jc w:val="center"/>
        <w:rPr>
          <w:b/>
          <w:bCs/>
          <w:sz w:val="20"/>
          <w:szCs w:val="20"/>
        </w:rPr>
      </w:pPr>
      <w:r w:rsidRPr="00DB4F5A">
        <w:rPr>
          <w:b/>
          <w:bCs/>
          <w:sz w:val="20"/>
          <w:szCs w:val="20"/>
        </w:rPr>
        <w:lastRenderedPageBreak/>
        <w:t>Figura 5</w:t>
      </w:r>
      <w:r w:rsidR="00DB4F5A">
        <w:rPr>
          <w:b/>
          <w:bCs/>
          <w:sz w:val="20"/>
          <w:szCs w:val="20"/>
        </w:rPr>
        <w:t xml:space="preserve"> |</w:t>
      </w:r>
      <w:r w:rsidRPr="00DB4F5A">
        <w:rPr>
          <w:b/>
          <w:bCs/>
          <w:sz w:val="20"/>
          <w:szCs w:val="20"/>
        </w:rPr>
        <w:t xml:space="preserve"> Gráfico de ponderadores de los componentes principales.</w:t>
      </w:r>
    </w:p>
    <w:p w14:paraId="77CE7F5F" w14:textId="6CA6E8E3" w:rsidR="001D0E7A" w:rsidRPr="00F22B33" w:rsidRDefault="00F33ED6" w:rsidP="00DB4F5A">
      <w:pPr>
        <w:spacing w:before="120" w:after="120"/>
        <w:jc w:val="center"/>
        <w:rPr>
          <w:sz w:val="20"/>
          <w:szCs w:val="20"/>
        </w:rPr>
      </w:pPr>
      <w:r w:rsidRPr="00F33ED6">
        <w:rPr>
          <w:noProof/>
          <w:sz w:val="20"/>
          <w:szCs w:val="20"/>
        </w:rPr>
        <w:drawing>
          <wp:inline distT="0" distB="0" distL="0" distR="0" wp14:anchorId="5A4146AC" wp14:editId="5270CBEA">
            <wp:extent cx="2414016" cy="1999826"/>
            <wp:effectExtent l="0" t="0" r="5715" b="635"/>
            <wp:docPr id="1139330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33022" name=""/>
                    <pic:cNvPicPr/>
                  </pic:nvPicPr>
                  <pic:blipFill>
                    <a:blip r:embed="rId16"/>
                    <a:stretch>
                      <a:fillRect/>
                    </a:stretch>
                  </pic:blipFill>
                  <pic:spPr>
                    <a:xfrm>
                      <a:off x="0" y="0"/>
                      <a:ext cx="2426950" cy="2010541"/>
                    </a:xfrm>
                    <a:prstGeom prst="rect">
                      <a:avLst/>
                    </a:prstGeom>
                  </pic:spPr>
                </pic:pic>
              </a:graphicData>
            </a:graphic>
          </wp:inline>
        </w:drawing>
      </w:r>
    </w:p>
    <w:p w14:paraId="7B063CD6" w14:textId="7AF2BC2C" w:rsidR="001D0E7A" w:rsidRPr="00DB4F5A" w:rsidRDefault="00000000" w:rsidP="00DB4F5A">
      <w:pPr>
        <w:numPr>
          <w:ilvl w:val="0"/>
          <w:numId w:val="2"/>
        </w:numPr>
        <w:spacing w:before="120" w:after="120"/>
        <w:jc w:val="both"/>
        <w:rPr>
          <w:sz w:val="20"/>
          <w:szCs w:val="20"/>
        </w:rPr>
      </w:pPr>
      <w:r w:rsidRPr="00F22B33">
        <w:rPr>
          <w:sz w:val="20"/>
          <w:szCs w:val="20"/>
        </w:rPr>
        <w:t>La Figura 6 A muestra la proporción de la varianza que explican cada uno de los componentes principales.  El primer componente explica el 42% de la varianza total de los datos, mientras que el segundo componente agrega un 20%, alcanzando entre ambos cerca de dos tercios de la información contenida en las seis variables originales. A partir del tercer componente, el aporte marginal a la varianza explicada disminuye (un 14% de aporte), evidenciando rendimientos menores. Esto sugiere que los dos primeros componentes capturan la estructura esencial de los datos, reduciendo la dimensionalidad sin perder información relevante. La Figura 6 B, exhibe el acumulado de la varianza explicado por cada uno de los componentes.</w:t>
      </w:r>
    </w:p>
    <w:p w14:paraId="3958D57A" w14:textId="0F0E98FB" w:rsidR="001D0E7A" w:rsidRPr="00DB4F5A" w:rsidRDefault="00000000" w:rsidP="00DB4F5A">
      <w:pPr>
        <w:spacing w:before="120" w:after="120"/>
        <w:jc w:val="center"/>
        <w:rPr>
          <w:b/>
          <w:bCs/>
          <w:sz w:val="20"/>
          <w:szCs w:val="20"/>
        </w:rPr>
      </w:pPr>
      <w:r w:rsidRPr="00DB4F5A">
        <w:rPr>
          <w:b/>
          <w:bCs/>
          <w:sz w:val="20"/>
          <w:szCs w:val="20"/>
        </w:rPr>
        <w:t>Figura 6</w:t>
      </w:r>
      <w:r w:rsidR="00DB4F5A">
        <w:rPr>
          <w:b/>
          <w:bCs/>
          <w:sz w:val="20"/>
          <w:szCs w:val="20"/>
        </w:rPr>
        <w:t xml:space="preserve"> |</w:t>
      </w:r>
      <w:r w:rsidRPr="00DB4F5A">
        <w:rPr>
          <w:b/>
          <w:bCs/>
          <w:sz w:val="20"/>
          <w:szCs w:val="20"/>
        </w:rPr>
        <w:t xml:space="preserve"> Proporción explicada de la varianza por cada uno de los componentes.</w:t>
      </w:r>
    </w:p>
    <w:p w14:paraId="20028D5A" w14:textId="5C9DBA21" w:rsidR="001D0E7A" w:rsidRPr="00F22B33" w:rsidRDefault="00F33ED6" w:rsidP="00DB4F5A">
      <w:pPr>
        <w:spacing w:before="120" w:after="120"/>
        <w:jc w:val="center"/>
        <w:rPr>
          <w:sz w:val="20"/>
          <w:szCs w:val="20"/>
        </w:rPr>
      </w:pPr>
      <w:r w:rsidRPr="00F33ED6">
        <w:rPr>
          <w:noProof/>
          <w:sz w:val="20"/>
          <w:szCs w:val="20"/>
        </w:rPr>
        <w:drawing>
          <wp:inline distT="0" distB="0" distL="0" distR="0" wp14:anchorId="29FA6386" wp14:editId="5B352AB6">
            <wp:extent cx="4299636" cy="1661948"/>
            <wp:effectExtent l="0" t="0" r="5715" b="0"/>
            <wp:docPr id="7232272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227284" name=""/>
                    <pic:cNvPicPr/>
                  </pic:nvPicPr>
                  <pic:blipFill>
                    <a:blip r:embed="rId17"/>
                    <a:stretch>
                      <a:fillRect/>
                    </a:stretch>
                  </pic:blipFill>
                  <pic:spPr>
                    <a:xfrm>
                      <a:off x="0" y="0"/>
                      <a:ext cx="4321150" cy="1670264"/>
                    </a:xfrm>
                    <a:prstGeom prst="rect">
                      <a:avLst/>
                    </a:prstGeom>
                  </pic:spPr>
                </pic:pic>
              </a:graphicData>
            </a:graphic>
          </wp:inline>
        </w:drawing>
      </w:r>
    </w:p>
    <w:p w14:paraId="1C394C5B" w14:textId="433C3483" w:rsidR="001D0E7A" w:rsidRPr="00DB4F5A" w:rsidRDefault="00000000" w:rsidP="00DB4F5A">
      <w:pPr>
        <w:numPr>
          <w:ilvl w:val="0"/>
          <w:numId w:val="2"/>
        </w:numPr>
        <w:spacing w:before="120" w:after="120"/>
        <w:jc w:val="both"/>
        <w:rPr>
          <w:sz w:val="20"/>
          <w:szCs w:val="20"/>
        </w:rPr>
      </w:pPr>
      <w:r w:rsidRPr="00F22B33">
        <w:rPr>
          <w:sz w:val="20"/>
          <w:szCs w:val="20"/>
        </w:rPr>
        <w:t xml:space="preserve">A) Los resultados del algoritmo </w:t>
      </w:r>
      <w:r w:rsidRPr="00F22B33">
        <w:rPr>
          <w:i/>
          <w:sz w:val="20"/>
          <w:szCs w:val="20"/>
        </w:rPr>
        <w:t>k-medias</w:t>
      </w:r>
      <w:r w:rsidRPr="00F22B33">
        <w:rPr>
          <w:sz w:val="20"/>
          <w:szCs w:val="20"/>
        </w:rPr>
        <w:t xml:space="preserve"> se ven en la Figura 7. Con </w:t>
      </w:r>
      <w:r w:rsidRPr="00F22B33">
        <w:rPr>
          <w:i/>
          <w:sz w:val="20"/>
          <w:szCs w:val="20"/>
        </w:rPr>
        <w:t>k=2</w:t>
      </w:r>
      <w:r w:rsidRPr="00F22B33">
        <w:rPr>
          <w:sz w:val="20"/>
          <w:szCs w:val="20"/>
        </w:rPr>
        <w:t xml:space="preserve">, los individuos se dividen en dos grupos determinados principalmente por el nivel de ingreso familiar, aunque con una superposición considerable de los clusters. Esto sugiere que el modelo logra captar parcialmente la diferencia entre pobres y no pobres, pero sin ser nítida debido a la continuidad de la variable ingreso y la influencia de la edad. Al aumentar el número de grupos, </w:t>
      </w:r>
      <w:r w:rsidRPr="00F22B33">
        <w:rPr>
          <w:i/>
          <w:sz w:val="20"/>
          <w:szCs w:val="20"/>
        </w:rPr>
        <w:t>k=4</w:t>
      </w:r>
      <w:r w:rsidRPr="00F22B33">
        <w:rPr>
          <w:sz w:val="20"/>
          <w:szCs w:val="20"/>
        </w:rPr>
        <w:t xml:space="preserve"> y </w:t>
      </w:r>
      <w:r w:rsidRPr="00F22B33">
        <w:rPr>
          <w:i/>
          <w:sz w:val="20"/>
          <w:szCs w:val="20"/>
        </w:rPr>
        <w:t>k=10</w:t>
      </w:r>
      <w:r w:rsidRPr="00F22B33">
        <w:rPr>
          <w:sz w:val="20"/>
          <w:szCs w:val="20"/>
        </w:rPr>
        <w:t xml:space="preserve">, los clusters se vuelven más fragmentados, aunque sin mejoras sustanciales en la identificación del binomio pobres-no pobres. </w:t>
      </w:r>
    </w:p>
    <w:p w14:paraId="5D33093C" w14:textId="4A7247E1" w:rsidR="001D0E7A" w:rsidRPr="00776387" w:rsidRDefault="00000000" w:rsidP="00DB4F5A">
      <w:pPr>
        <w:spacing w:before="120" w:after="120"/>
        <w:jc w:val="center"/>
        <w:rPr>
          <w:b/>
          <w:bCs/>
          <w:sz w:val="20"/>
          <w:szCs w:val="20"/>
        </w:rPr>
      </w:pPr>
      <w:r w:rsidRPr="00776387">
        <w:rPr>
          <w:b/>
          <w:bCs/>
          <w:sz w:val="20"/>
          <w:szCs w:val="20"/>
        </w:rPr>
        <w:t>Figura 7</w:t>
      </w:r>
      <w:r w:rsidR="00776387">
        <w:rPr>
          <w:b/>
          <w:bCs/>
          <w:sz w:val="20"/>
          <w:szCs w:val="20"/>
        </w:rPr>
        <w:t xml:space="preserve"> |</w:t>
      </w:r>
      <w:r w:rsidRPr="00776387">
        <w:rPr>
          <w:b/>
          <w:bCs/>
          <w:sz w:val="20"/>
          <w:szCs w:val="20"/>
        </w:rPr>
        <w:t xml:space="preserve"> Cluster de k-medias para las variables Ingreso familiar total y Edad.</w:t>
      </w:r>
    </w:p>
    <w:p w14:paraId="2FE4EDB7" w14:textId="30EE4750" w:rsidR="001D0E7A" w:rsidRPr="00F22B33" w:rsidRDefault="00776387" w:rsidP="00776387">
      <w:pPr>
        <w:spacing w:before="120" w:after="120"/>
        <w:jc w:val="center"/>
        <w:rPr>
          <w:sz w:val="20"/>
          <w:szCs w:val="20"/>
        </w:rPr>
      </w:pPr>
      <w:r w:rsidRPr="00776387">
        <w:rPr>
          <w:noProof/>
          <w:sz w:val="20"/>
          <w:szCs w:val="20"/>
        </w:rPr>
        <w:drawing>
          <wp:inline distT="0" distB="0" distL="0" distR="0" wp14:anchorId="40328EA5" wp14:editId="5DB005F8">
            <wp:extent cx="5098694" cy="1654577"/>
            <wp:effectExtent l="0" t="0" r="6985" b="3175"/>
            <wp:docPr id="1150367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36750" name=""/>
                    <pic:cNvPicPr/>
                  </pic:nvPicPr>
                  <pic:blipFill>
                    <a:blip r:embed="rId18"/>
                    <a:stretch>
                      <a:fillRect/>
                    </a:stretch>
                  </pic:blipFill>
                  <pic:spPr>
                    <a:xfrm>
                      <a:off x="0" y="0"/>
                      <a:ext cx="5120249" cy="1661572"/>
                    </a:xfrm>
                    <a:prstGeom prst="rect">
                      <a:avLst/>
                    </a:prstGeom>
                  </pic:spPr>
                </pic:pic>
              </a:graphicData>
            </a:graphic>
          </wp:inline>
        </w:drawing>
      </w:r>
    </w:p>
    <w:p w14:paraId="62CA4A7D" w14:textId="690FC16F" w:rsidR="001D0E7A" w:rsidRPr="00F22B33" w:rsidRDefault="00000000" w:rsidP="00DB4F5A">
      <w:pPr>
        <w:spacing w:before="120" w:after="120"/>
        <w:ind w:left="708"/>
        <w:jc w:val="both"/>
        <w:rPr>
          <w:sz w:val="20"/>
          <w:szCs w:val="20"/>
        </w:rPr>
      </w:pPr>
      <w:r w:rsidRPr="00F22B33">
        <w:rPr>
          <w:sz w:val="20"/>
          <w:szCs w:val="20"/>
        </w:rPr>
        <w:lastRenderedPageBreak/>
        <w:t xml:space="preserve">B) El gráfico de la métrica de inercia muestra una caída pronunciada entre </w:t>
      </w:r>
      <w:r w:rsidRPr="00F22B33">
        <w:rPr>
          <w:i/>
          <w:sz w:val="20"/>
          <w:szCs w:val="20"/>
        </w:rPr>
        <w:t>k=1</w:t>
      </w:r>
      <w:r w:rsidRPr="00F22B33">
        <w:rPr>
          <w:sz w:val="20"/>
          <w:szCs w:val="20"/>
        </w:rPr>
        <w:t xml:space="preserve"> y </w:t>
      </w:r>
      <w:r w:rsidRPr="00F22B33">
        <w:rPr>
          <w:i/>
          <w:sz w:val="20"/>
          <w:szCs w:val="20"/>
        </w:rPr>
        <w:t>k=3</w:t>
      </w:r>
      <w:r w:rsidRPr="00F22B33">
        <w:rPr>
          <w:sz w:val="20"/>
          <w:szCs w:val="20"/>
        </w:rPr>
        <w:t xml:space="preserve">, a partir de la cual la pendiente comienza a aplanarse progresivamente. Esto sugiere que el número óptimo de clusters se encuentra alrededor de </w:t>
      </w:r>
      <w:r w:rsidRPr="00F22B33">
        <w:rPr>
          <w:i/>
          <w:sz w:val="20"/>
          <w:szCs w:val="20"/>
        </w:rPr>
        <w:t>k=2</w:t>
      </w:r>
      <w:r w:rsidRPr="00F22B33">
        <w:rPr>
          <w:sz w:val="20"/>
          <w:szCs w:val="20"/>
        </w:rPr>
        <w:t xml:space="preserve"> o </w:t>
      </w:r>
      <w:r w:rsidRPr="00F22B33">
        <w:rPr>
          <w:i/>
          <w:sz w:val="20"/>
          <w:szCs w:val="20"/>
        </w:rPr>
        <w:t>k=3</w:t>
      </w:r>
      <w:r w:rsidRPr="00F22B33">
        <w:rPr>
          <w:sz w:val="20"/>
          <w:szCs w:val="20"/>
        </w:rPr>
        <w:t>, ya que agregar más grupos no mejora sustancialmente la capacidad explicativa del modelo, como puede verse en la Figura 8. La cantidad óptima de grupos (entre dos y tres) no permite distinguir de manera estricta entre pobres y no pobres, ya que ambos grupos presentan cierta superposición dentro de los clusters. Esta segmentación parece estar asociada mejor a las diferencias en la estructura socioeconómica, identificando hogares de ingresos bajos, medios y altos. Por lo tanto, el algoritmo refleja una clasificación más asociada a distintos estratos de bienestar económico que a la dualidad pobre-no pobre.</w:t>
      </w:r>
    </w:p>
    <w:p w14:paraId="05987681" w14:textId="3D883DD0" w:rsidR="001D0E7A" w:rsidRPr="00776387" w:rsidRDefault="00000000" w:rsidP="00DB4F5A">
      <w:pPr>
        <w:spacing w:before="120" w:after="120"/>
        <w:ind w:left="708"/>
        <w:jc w:val="center"/>
        <w:rPr>
          <w:b/>
          <w:bCs/>
          <w:sz w:val="20"/>
          <w:szCs w:val="20"/>
        </w:rPr>
      </w:pPr>
      <w:r w:rsidRPr="00776387">
        <w:rPr>
          <w:b/>
          <w:bCs/>
          <w:sz w:val="20"/>
          <w:szCs w:val="20"/>
        </w:rPr>
        <w:t xml:space="preserve">Figura </w:t>
      </w:r>
      <w:r w:rsidR="00776387">
        <w:rPr>
          <w:b/>
          <w:bCs/>
          <w:sz w:val="20"/>
          <w:szCs w:val="20"/>
        </w:rPr>
        <w:t>8 |</w:t>
      </w:r>
      <w:r w:rsidRPr="00776387">
        <w:rPr>
          <w:b/>
          <w:bCs/>
          <w:sz w:val="20"/>
          <w:szCs w:val="20"/>
        </w:rPr>
        <w:t xml:space="preserve"> Métrica de inercia e identificación de Elbow.</w:t>
      </w:r>
    </w:p>
    <w:p w14:paraId="38166DD3" w14:textId="25C881C6" w:rsidR="001D0E7A" w:rsidRPr="00F22B33" w:rsidRDefault="00776387" w:rsidP="00DB4F5A">
      <w:pPr>
        <w:spacing w:before="120" w:after="120"/>
        <w:ind w:left="708"/>
        <w:jc w:val="center"/>
        <w:rPr>
          <w:sz w:val="20"/>
          <w:szCs w:val="20"/>
        </w:rPr>
      </w:pPr>
      <w:r w:rsidRPr="00776387">
        <w:rPr>
          <w:noProof/>
          <w:sz w:val="20"/>
          <w:szCs w:val="20"/>
        </w:rPr>
        <w:drawing>
          <wp:inline distT="0" distB="0" distL="0" distR="0" wp14:anchorId="182761CC" wp14:editId="7CD8E2C9">
            <wp:extent cx="2451836" cy="1798013"/>
            <wp:effectExtent l="0" t="0" r="5715" b="0"/>
            <wp:docPr id="9813455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45535" name=""/>
                    <pic:cNvPicPr/>
                  </pic:nvPicPr>
                  <pic:blipFill>
                    <a:blip r:embed="rId19"/>
                    <a:stretch>
                      <a:fillRect/>
                    </a:stretch>
                  </pic:blipFill>
                  <pic:spPr>
                    <a:xfrm>
                      <a:off x="0" y="0"/>
                      <a:ext cx="2464764" cy="1807494"/>
                    </a:xfrm>
                    <a:prstGeom prst="rect">
                      <a:avLst/>
                    </a:prstGeom>
                  </pic:spPr>
                </pic:pic>
              </a:graphicData>
            </a:graphic>
          </wp:inline>
        </w:drawing>
      </w:r>
    </w:p>
    <w:p w14:paraId="7C96BE30" w14:textId="26E11524" w:rsidR="001D0E7A" w:rsidRPr="00F22B33" w:rsidRDefault="00000000" w:rsidP="00DB4F5A">
      <w:pPr>
        <w:numPr>
          <w:ilvl w:val="0"/>
          <w:numId w:val="2"/>
        </w:numPr>
        <w:spacing w:before="120" w:after="120"/>
        <w:jc w:val="both"/>
        <w:rPr>
          <w:sz w:val="20"/>
          <w:szCs w:val="20"/>
        </w:rPr>
      </w:pPr>
      <w:r w:rsidRPr="00F22B33">
        <w:rPr>
          <w:sz w:val="20"/>
          <w:szCs w:val="20"/>
        </w:rPr>
        <w:t>El dendrograma del clustering jerárquico muestra cómo las observaciones se agrupan progresivamente según su nivel de disimilitud, representado en el eje vertical. Las ramas más bajas reflejan un alto grado de similitud entre individuos o hogares, mientras que las fusiones en niveles superiores agrupan conjuntos cada vez más heterogéneos. Un dendrograma es una representación gráfica en forma de árbol que permite observar la estructura jerárquica de los datos y decidir visualmente el número de clusters cortando el árbol a una determinada altura. En este caso, la Figura 9 sugiere la presencia de tres o cuatro grandes conglomerados socioeconómicos, más asociados a diferentes niveles de ingreso y composición del hogar que a una separación estricta entre pobres y no pobres.</w:t>
      </w:r>
    </w:p>
    <w:p w14:paraId="3E0B2BF4" w14:textId="0E669E45" w:rsidR="001D0E7A" w:rsidRPr="00776387" w:rsidRDefault="00000000" w:rsidP="00776387">
      <w:pPr>
        <w:spacing w:before="120" w:after="120"/>
        <w:jc w:val="center"/>
        <w:rPr>
          <w:b/>
          <w:bCs/>
          <w:sz w:val="20"/>
          <w:szCs w:val="20"/>
        </w:rPr>
      </w:pPr>
      <w:r w:rsidRPr="00776387">
        <w:rPr>
          <w:b/>
          <w:bCs/>
          <w:sz w:val="20"/>
          <w:szCs w:val="20"/>
        </w:rPr>
        <w:t xml:space="preserve">Figura </w:t>
      </w:r>
      <w:r w:rsidR="00776387">
        <w:rPr>
          <w:b/>
          <w:bCs/>
          <w:sz w:val="20"/>
          <w:szCs w:val="20"/>
        </w:rPr>
        <w:t xml:space="preserve">9 | </w:t>
      </w:r>
      <w:r w:rsidRPr="00776387">
        <w:rPr>
          <w:b/>
          <w:bCs/>
          <w:sz w:val="20"/>
          <w:szCs w:val="20"/>
        </w:rPr>
        <w:t>Dendrograma del clustering jerárquico.</w:t>
      </w:r>
    </w:p>
    <w:p w14:paraId="47CEFC10" w14:textId="3CD876A6" w:rsidR="001D0E7A" w:rsidRPr="00F22B33" w:rsidRDefault="00A0432B" w:rsidP="00DB4F5A">
      <w:pPr>
        <w:spacing w:before="120" w:after="120"/>
        <w:jc w:val="center"/>
        <w:rPr>
          <w:sz w:val="20"/>
          <w:szCs w:val="20"/>
        </w:rPr>
      </w:pPr>
      <w:r w:rsidRPr="00A0432B">
        <w:rPr>
          <w:noProof/>
          <w:sz w:val="20"/>
          <w:szCs w:val="20"/>
        </w:rPr>
        <w:drawing>
          <wp:inline distT="0" distB="0" distL="0" distR="0" wp14:anchorId="574C8A48" wp14:editId="244C9355">
            <wp:extent cx="4043604" cy="2392395"/>
            <wp:effectExtent l="0" t="0" r="0" b="8255"/>
            <wp:docPr id="19448940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894082" name=""/>
                    <pic:cNvPicPr/>
                  </pic:nvPicPr>
                  <pic:blipFill>
                    <a:blip r:embed="rId20"/>
                    <a:stretch>
                      <a:fillRect/>
                    </a:stretch>
                  </pic:blipFill>
                  <pic:spPr>
                    <a:xfrm>
                      <a:off x="0" y="0"/>
                      <a:ext cx="4054233" cy="2398684"/>
                    </a:xfrm>
                    <a:prstGeom prst="rect">
                      <a:avLst/>
                    </a:prstGeom>
                  </pic:spPr>
                </pic:pic>
              </a:graphicData>
            </a:graphic>
          </wp:inline>
        </w:drawing>
      </w:r>
    </w:p>
    <w:sectPr w:rsidR="001D0E7A" w:rsidRPr="00F22B33" w:rsidSect="002E2905">
      <w:headerReference w:type="default" r:id="rId21"/>
      <w:pgSz w:w="11909" w:h="16834"/>
      <w:pgMar w:top="1440" w:right="1080" w:bottom="1440" w:left="108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F7F957" w14:textId="77777777" w:rsidR="00915CE8" w:rsidRDefault="00915CE8">
      <w:pPr>
        <w:spacing w:line="240" w:lineRule="auto"/>
      </w:pPr>
      <w:r>
        <w:separator/>
      </w:r>
    </w:p>
  </w:endnote>
  <w:endnote w:type="continuationSeparator" w:id="0">
    <w:p w14:paraId="48D26738" w14:textId="77777777" w:rsidR="00915CE8" w:rsidRDefault="00915CE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1" w:fontKey="{D3E96770-6BC9-4F59-A3C7-A6A1A85AC73C}"/>
    <w:embedBold r:id="rId2" w:fontKey="{32F85BF8-9EFC-4B70-A475-75F82FE8B4A8}"/>
    <w:embedBoldItalic r:id="rId3" w:fontKey="{67CF0FE4-9C4F-4974-A04A-385ED380ADC4}"/>
  </w:font>
  <w:font w:name="Calibri">
    <w:panose1 w:val="020F0502020204030204"/>
    <w:charset w:val="00"/>
    <w:family w:val="swiss"/>
    <w:pitch w:val="variable"/>
    <w:sig w:usb0="E4002EFF" w:usb1="C200247B" w:usb2="00000009" w:usb3="00000000" w:csb0="000001FF" w:csb1="00000000"/>
    <w:embedRegular r:id="rId4" w:fontKey="{DCE25B1F-2E8D-411F-A7DE-C6967C96BA5D}"/>
  </w:font>
  <w:font w:name="Cambria">
    <w:panose1 w:val="02040503050406030204"/>
    <w:charset w:val="00"/>
    <w:family w:val="roman"/>
    <w:pitch w:val="variable"/>
    <w:sig w:usb0="E00006FF" w:usb1="420024FF" w:usb2="02000000" w:usb3="00000000" w:csb0="0000019F" w:csb1="00000000"/>
    <w:embedRegular r:id="rId5" w:fontKey="{139FC19C-6E5C-4D97-ADC0-0B2581F89ABA}"/>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29295B" w14:textId="77777777" w:rsidR="00915CE8" w:rsidRDefault="00915CE8">
      <w:pPr>
        <w:spacing w:line="240" w:lineRule="auto"/>
      </w:pPr>
      <w:r>
        <w:separator/>
      </w:r>
    </w:p>
  </w:footnote>
  <w:footnote w:type="continuationSeparator" w:id="0">
    <w:p w14:paraId="3742357D" w14:textId="77777777" w:rsidR="00915CE8" w:rsidRDefault="00915CE8">
      <w:pPr>
        <w:spacing w:line="240" w:lineRule="auto"/>
      </w:pPr>
      <w:r>
        <w:continuationSeparator/>
      </w:r>
    </w:p>
  </w:footnote>
  <w:footnote w:id="1">
    <w:p w14:paraId="7B8227F3" w14:textId="7A9EB54E" w:rsidR="00F22B33" w:rsidRPr="00F22B33" w:rsidRDefault="00F22B33">
      <w:pPr>
        <w:pStyle w:val="Textonotapie"/>
        <w:rPr>
          <w:lang w:val="es-AR"/>
        </w:rPr>
      </w:pPr>
      <w:r w:rsidRPr="00F22B33">
        <w:rPr>
          <w:rStyle w:val="Refdenotaalpie"/>
          <w:sz w:val="16"/>
          <w:szCs w:val="16"/>
        </w:rPr>
        <w:footnoteRef/>
      </w:r>
      <w:r w:rsidRPr="00F22B33">
        <w:rPr>
          <w:sz w:val="16"/>
          <w:szCs w:val="16"/>
        </w:rPr>
        <w:t xml:space="preserve"> De lo anterior se desprende que todas las figuras y tablas desarrolladas en el presente trabajo proviene de dicha fuente, eliminando en consecuencia la referencia en cada una de ellas.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215025" w14:textId="77777777" w:rsidR="001D0E7A" w:rsidRDefault="001D0E7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7601D6"/>
    <w:multiLevelType w:val="multilevel"/>
    <w:tmpl w:val="2C90E6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51D0A78"/>
    <w:multiLevelType w:val="multilevel"/>
    <w:tmpl w:val="861C64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48770670">
    <w:abstractNumId w:val="0"/>
  </w:num>
  <w:num w:numId="2" w16cid:durableId="16687036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0E7A"/>
    <w:rsid w:val="001D0E7A"/>
    <w:rsid w:val="001F2D6B"/>
    <w:rsid w:val="002E2905"/>
    <w:rsid w:val="00476F78"/>
    <w:rsid w:val="00557979"/>
    <w:rsid w:val="00756A40"/>
    <w:rsid w:val="00776387"/>
    <w:rsid w:val="008E1FDE"/>
    <w:rsid w:val="00915CE8"/>
    <w:rsid w:val="00A0432B"/>
    <w:rsid w:val="00AA179D"/>
    <w:rsid w:val="00DB4F5A"/>
    <w:rsid w:val="00E651D3"/>
    <w:rsid w:val="00EE09CB"/>
    <w:rsid w:val="00F22B33"/>
    <w:rsid w:val="00F33ED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42362"/>
  <w15:docId w15:val="{0ED39DB3-4FAB-44EF-AECE-848AE3C998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A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styleId="Tablaconcuadrcula">
    <w:name w:val="Table Grid"/>
    <w:basedOn w:val="Tablanormal"/>
    <w:uiPriority w:val="39"/>
    <w:rsid w:val="00E651D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F22B33"/>
    <w:pPr>
      <w:spacing w:line="240" w:lineRule="auto"/>
    </w:pPr>
    <w:rPr>
      <w:sz w:val="20"/>
      <w:szCs w:val="20"/>
    </w:rPr>
  </w:style>
  <w:style w:type="character" w:customStyle="1" w:styleId="TextonotapieCar">
    <w:name w:val="Texto nota pie Car"/>
    <w:basedOn w:val="Fuentedeprrafopredeter"/>
    <w:link w:val="Textonotapie"/>
    <w:uiPriority w:val="99"/>
    <w:semiHidden/>
    <w:rsid w:val="00F22B33"/>
    <w:rPr>
      <w:sz w:val="20"/>
      <w:szCs w:val="20"/>
    </w:rPr>
  </w:style>
  <w:style w:type="character" w:styleId="Refdenotaalpie">
    <w:name w:val="footnote reference"/>
    <w:basedOn w:val="Fuentedeprrafopredeter"/>
    <w:uiPriority w:val="99"/>
    <w:semiHidden/>
    <w:unhideWhenUsed/>
    <w:rsid w:val="00F22B33"/>
    <w:rPr>
      <w:vertAlign w:val="superscript"/>
    </w:rPr>
  </w:style>
  <w:style w:type="character" w:styleId="Hipervnculo">
    <w:name w:val="Hyperlink"/>
    <w:basedOn w:val="Fuentedeprrafopredeter"/>
    <w:uiPriority w:val="99"/>
    <w:unhideWhenUsed/>
    <w:rsid w:val="00A0432B"/>
    <w:rPr>
      <w:color w:val="0000FF" w:themeColor="hyperlink"/>
      <w:u w:val="single"/>
    </w:rPr>
  </w:style>
  <w:style w:type="character" w:styleId="Mencinsinresolver">
    <w:name w:val="Unresolved Mention"/>
    <w:basedOn w:val="Fuentedeprrafopredeter"/>
    <w:uiPriority w:val="99"/>
    <w:semiHidden/>
    <w:unhideWhenUsed/>
    <w:rsid w:val="00A043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franlecam/BigDataUBA-Grupo1"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41CB0D-6C4B-43EC-B497-0C15628286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6</Pages>
  <Words>1700</Words>
  <Characters>9354</Characters>
  <Application>Microsoft Office Word</Application>
  <DocSecurity>0</DocSecurity>
  <Lines>77</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Francisco Leiva</dc:creator>
  <cp:lastModifiedBy>Francisco Leiva</cp:lastModifiedBy>
  <cp:revision>7</cp:revision>
  <cp:lastPrinted>2025-10-23T14:05:00Z</cp:lastPrinted>
  <dcterms:created xsi:type="dcterms:W3CDTF">2025-10-22T19:42:00Z</dcterms:created>
  <dcterms:modified xsi:type="dcterms:W3CDTF">2025-10-23T14:05:00Z</dcterms:modified>
</cp:coreProperties>
</file>