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b w:val="1"/>
          <w:bCs w:val="1"/>
          <w:color w:val="1b365d"/>
          <w:sz w:val="32"/>
          <w:szCs w:val="32"/>
        </w:rPr>
      </w:pPr>
      <w:r w:rsidDel="00000000" w:rsidR="00000000" w:rsidRPr="00000000">
        <w:rPr>
          <w:b w:val="1"/>
          <w:bCs w:val="1"/>
          <w:color w:val="1b365d"/>
          <w:sz w:val="32"/>
          <w:szCs w:val="32"/>
          <w:rtl w:val="0"/>
        </w:rPr>
        <w:t xml:space="preserve">FICHA TECNICA: CONOCIMIENTO DEL DOMINIO Y CONTEXTO DEL PROYECTO</w:t>
      </w:r>
    </w:p>
    <w:p w:rsidR="00000000" w:rsidDel="00000000" w:rsidP="00000000" w:rsidRDefault="00000000" w:rsidRPr="00000000" w14:paraId="00000002">
      <w:pPr>
        <w:spacing w:after="400" w:lineRule="auto"/>
        <w:jc w:val="center"/>
        <w:rPr>
          <w:i w:val="1"/>
          <w:iCs w:val="1"/>
          <w:color w:val="646e78"/>
        </w:rPr>
      </w:pPr>
      <w:r w:rsidDel="00000000" w:rsidR="00000000" w:rsidRPr="00000000">
        <w:rPr>
          <w:i w:val="1"/>
          <w:iCs w:val="1"/>
          <w:color w:val="646e78"/>
          <w:rtl w:val="0"/>
        </w:rPr>
        <w:t xml:space="preserve">Equipo Nro. 4, Proyecto de Prácticas Profesionalizantes I: Sector Energético – Energías Renovables en Argentina (2011–2026)</w:t>
      </w:r>
    </w:p>
    <w:p w:rsidR="00000000" w:rsidDel="00000000" w:rsidP="00000000" w:rsidRDefault="00000000" w:rsidRPr="00000000" w14:paraId="00000003">
      <w:pPr>
        <w:spacing w:after="120" w:before="280" w:lineRule="auto"/>
        <w:rPr>
          <w:b w:val="1"/>
          <w:bCs w:val="1"/>
          <w:color w:val="ee0000"/>
          <w:sz w:val="24"/>
          <w:szCs w:val="24"/>
        </w:rPr>
      </w:pPr>
      <w:r w:rsidDel="00000000" w:rsidR="00000000" w:rsidRPr="00000000">
        <w:rPr>
          <w:b w:val="1"/>
          <w:bCs w:val="1"/>
          <w:color w:val="ee0000"/>
          <w:sz w:val="24"/>
          <w:szCs w:val="24"/>
          <w:rtl w:val="0"/>
        </w:rPr>
        <w:t xml:space="preserve">1. IDENTIFICACIÓN</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760"/>
        <w:tblGridChange w:id="0">
          <w:tblGrid>
            <w:gridCol w:w="3120"/>
            <w:gridCol w:w="5760"/>
          </w:tblGrid>
        </w:tblGridChange>
      </w:tblGrid>
      <w:tr>
        <w:trPr>
          <w:cantSplit w:val="0"/>
          <w:trHeight w:val="690" w:hRule="atLeast"/>
          <w:tblHeader w:val="0"/>
        </w:trPr>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4">
            <w:pPr>
              <w:spacing w:after="200" w:lineRule="auto"/>
              <w:rPr>
                <w:b w:val="1"/>
                <w:bCs w:val="1"/>
                <w:color w:val="ffffff"/>
                <w:sz w:val="20"/>
                <w:szCs w:val="20"/>
              </w:rPr>
            </w:pPr>
            <w:r w:rsidDel="00000000" w:rsidR="00000000" w:rsidRPr="00000000">
              <w:rPr>
                <w:b w:val="1"/>
                <w:bCs w:val="1"/>
                <w:color w:val="ffffff"/>
                <w:sz w:val="20"/>
                <w:szCs w:val="20"/>
                <w:rtl w:val="0"/>
              </w:rPr>
              <w:t xml:space="preserve">Campo de Registro</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5">
            <w:pPr>
              <w:spacing w:after="200" w:lineRule="auto"/>
              <w:rPr>
                <w:b w:val="1"/>
                <w:bCs w:val="1"/>
                <w:color w:val="ffffff"/>
                <w:sz w:val="20"/>
                <w:szCs w:val="20"/>
              </w:rPr>
            </w:pPr>
            <w:r w:rsidDel="00000000" w:rsidR="00000000" w:rsidRPr="00000000">
              <w:rPr>
                <w:b w:val="1"/>
                <w:bCs w:val="1"/>
                <w:color w:val="ffffff"/>
                <w:sz w:val="20"/>
                <w:szCs w:val="20"/>
                <w:rtl w:val="0"/>
              </w:rPr>
              <w:t xml:space="preserve">Contenido / Definición</w:t>
            </w:r>
          </w:p>
        </w:tc>
      </w:tr>
      <w:tr>
        <w:trPr>
          <w:cantSplit w:val="0"/>
          <w:trHeight w:val="1500" w:hRule="atLeast"/>
          <w:tblHeader w:val="0"/>
        </w:trPr>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06">
            <w:pPr>
              <w:spacing w:after="200" w:lineRule="auto"/>
              <w:rPr>
                <w:color w:val="ff0000"/>
                <w:sz w:val="19"/>
                <w:szCs w:val="19"/>
              </w:rPr>
            </w:pPr>
            <w:r w:rsidDel="00000000" w:rsidR="00000000" w:rsidRPr="00000000">
              <w:rPr>
                <w:color w:val="ff0000"/>
                <w:sz w:val="19"/>
                <w:szCs w:val="19"/>
                <w:rtl w:val="0"/>
              </w:rPr>
              <w:t xml:space="preserve">Nombre del Proyecto</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07">
            <w:pPr>
              <w:spacing w:after="200" w:lineRule="auto"/>
              <w:rPr>
                <w:sz w:val="19"/>
                <w:szCs w:val="19"/>
              </w:rPr>
            </w:pPr>
            <w:r w:rsidDel="00000000" w:rsidR="00000000" w:rsidRPr="00000000">
              <w:rPr>
                <w:sz w:val="19"/>
                <w:szCs w:val="19"/>
                <w:rtl w:val="0"/>
              </w:rPr>
              <w:t xml:space="preserve">PP1 Sector Energético: Energías Renovables en Argentina</w:t>
            </w:r>
          </w:p>
          <w:p w:rsidR="00000000" w:rsidDel="00000000" w:rsidP="00000000" w:rsidRDefault="00000000" w:rsidRPr="00000000" w14:paraId="00000008">
            <w:pPr>
              <w:spacing w:after="200" w:lineRule="auto"/>
              <w:rPr>
                <w:sz w:val="19"/>
                <w:szCs w:val="19"/>
              </w:rPr>
            </w:pPr>
            <w:r w:rsidDel="00000000" w:rsidR="00000000" w:rsidRPr="00000000">
              <w:rPr>
                <w:sz w:val="19"/>
                <w:szCs w:val="19"/>
                <w:rtl w:val="0"/>
              </w:rPr>
              <w:t xml:space="preserve">Análisis de la Evolución, Penetración y Desempeño de la Generación Eléctrica Renovable en el Mercado Eléctrico Mayorista (MEM) de Argentina (2011–2026)</w:t>
            </w:r>
          </w:p>
        </w:tc>
      </w:tr>
      <w:tr>
        <w:trPr>
          <w:cantSplit w:val="0"/>
          <w:trHeight w:val="645" w:hRule="atLeast"/>
          <w:tblHeader w:val="0"/>
        </w:trPr>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09">
            <w:pPr>
              <w:spacing w:after="200" w:lineRule="auto"/>
              <w:rPr>
                <w:color w:val="ff0000"/>
                <w:sz w:val="19"/>
                <w:szCs w:val="19"/>
              </w:rPr>
            </w:pPr>
            <w:r w:rsidDel="00000000" w:rsidR="00000000" w:rsidRPr="00000000">
              <w:rPr>
                <w:color w:val="ff0000"/>
                <w:sz w:val="19"/>
                <w:szCs w:val="19"/>
                <w:rtl w:val="0"/>
              </w:rPr>
              <w:t xml:space="preserve">Eje Temático</w:t>
            </w:r>
          </w:p>
        </w:tc>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0A">
            <w:pPr>
              <w:spacing w:after="200" w:lineRule="auto"/>
              <w:rPr>
                <w:sz w:val="19"/>
                <w:szCs w:val="19"/>
              </w:rPr>
            </w:pPr>
            <w:r w:rsidDel="00000000" w:rsidR="00000000" w:rsidRPr="00000000">
              <w:rPr>
                <w:sz w:val="19"/>
                <w:szCs w:val="19"/>
                <w:rtl w:val="0"/>
              </w:rPr>
              <w:t xml:space="preserve">Energía y Sostenibilidad / Matriz Energética Nacional</w:t>
            </w:r>
          </w:p>
        </w:tc>
      </w:tr>
    </w:tbl>
    <w:p w:rsidR="00000000" w:rsidDel="00000000" w:rsidP="00000000" w:rsidRDefault="00000000" w:rsidRPr="00000000" w14:paraId="0000000B">
      <w:pPr>
        <w:spacing w:after="120" w:lineRule="auto"/>
        <w:rPr/>
      </w:pPr>
      <w:r w:rsidDel="00000000" w:rsidR="00000000" w:rsidRPr="00000000">
        <w:rPr>
          <w:rtl w:val="0"/>
        </w:rPr>
        <w:t xml:space="preserve"> </w:t>
      </w:r>
    </w:p>
    <w:p w:rsidR="00000000" w:rsidDel="00000000" w:rsidP="00000000" w:rsidRDefault="00000000" w:rsidRPr="00000000" w14:paraId="0000000C">
      <w:pPr>
        <w:spacing w:after="120" w:before="280" w:lineRule="auto"/>
        <w:rPr>
          <w:b w:val="1"/>
          <w:bCs w:val="1"/>
          <w:color w:val="ee0000"/>
          <w:sz w:val="24"/>
          <w:szCs w:val="24"/>
        </w:rPr>
      </w:pPr>
      <w:r w:rsidDel="00000000" w:rsidR="00000000" w:rsidRPr="00000000">
        <w:rPr>
          <w:b w:val="1"/>
          <w:bCs w:val="1"/>
          <w:color w:val="ee0000"/>
          <w:sz w:val="24"/>
          <w:szCs w:val="24"/>
          <w:rtl w:val="0"/>
        </w:rPr>
        <w:t xml:space="preserve">2. CONTEXTO DE ANÁLISIS</w:t>
      </w:r>
    </w:p>
    <w:tbl>
      <w:tblPr>
        <w:tblStyle w:val="Table2"/>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20"/>
        <w:gridCol w:w="5760"/>
        <w:tblGridChange w:id="0">
          <w:tblGrid>
            <w:gridCol w:w="3120"/>
            <w:gridCol w:w="5760"/>
          </w:tblGrid>
        </w:tblGridChange>
      </w:tblGrid>
      <w:tr>
        <w:trPr>
          <w:cantSplit w:val="0"/>
          <w:trHeight w:val="690" w:hRule="atLeast"/>
          <w:tblHeader w:val="0"/>
        </w:trPr>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D">
            <w:pPr>
              <w:spacing w:after="200" w:lineRule="auto"/>
              <w:rPr>
                <w:b w:val="1"/>
                <w:bCs w:val="1"/>
                <w:color w:val="ffffff"/>
                <w:sz w:val="20"/>
                <w:szCs w:val="20"/>
              </w:rPr>
            </w:pPr>
            <w:r w:rsidDel="00000000" w:rsidR="00000000" w:rsidRPr="00000000">
              <w:rPr>
                <w:b w:val="1"/>
                <w:bCs w:val="1"/>
                <w:color w:val="ffffff"/>
                <w:sz w:val="20"/>
                <w:szCs w:val="20"/>
                <w:rtl w:val="0"/>
              </w:rPr>
              <w:t xml:space="preserve">Campo de Registro</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0E">
            <w:pPr>
              <w:spacing w:after="200" w:lineRule="auto"/>
              <w:rPr>
                <w:b w:val="1"/>
                <w:bCs w:val="1"/>
                <w:color w:val="ffffff"/>
                <w:sz w:val="20"/>
                <w:szCs w:val="20"/>
              </w:rPr>
            </w:pPr>
            <w:r w:rsidDel="00000000" w:rsidR="00000000" w:rsidRPr="00000000">
              <w:rPr>
                <w:b w:val="1"/>
                <w:bCs w:val="1"/>
                <w:color w:val="ffffff"/>
                <w:sz w:val="20"/>
                <w:szCs w:val="20"/>
                <w:rtl w:val="0"/>
              </w:rPr>
              <w:t xml:space="preserve">Contenido / Definición</w:t>
            </w:r>
          </w:p>
        </w:tc>
      </w:tr>
      <w:tr>
        <w:trPr>
          <w:cantSplit w:val="0"/>
          <w:trHeight w:val="2175" w:hRule="atLeast"/>
          <w:tblHeader w:val="0"/>
        </w:trPr>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0F">
            <w:pPr>
              <w:spacing w:after="200" w:lineRule="auto"/>
              <w:rPr>
                <w:color w:val="ff0000"/>
                <w:sz w:val="19"/>
                <w:szCs w:val="19"/>
              </w:rPr>
            </w:pPr>
            <w:r w:rsidDel="00000000" w:rsidR="00000000" w:rsidRPr="00000000">
              <w:rPr>
                <w:color w:val="ff0000"/>
                <w:sz w:val="19"/>
                <w:szCs w:val="19"/>
                <w:rtl w:val="0"/>
              </w:rPr>
              <w:t xml:space="preserve">Descripción del Análisis</w:t>
              <w:br w:type="textWrapping"/>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10">
            <w:pPr>
              <w:spacing w:after="200" w:lineRule="auto"/>
              <w:rPr>
                <w:sz w:val="19"/>
                <w:szCs w:val="19"/>
              </w:rPr>
            </w:pPr>
            <w:r w:rsidDel="00000000" w:rsidR="00000000" w:rsidRPr="00000000">
              <w:rPr>
                <w:sz w:val="19"/>
                <w:szCs w:val="19"/>
                <w:rtl w:val="0"/>
              </w:rPr>
              <w:t xml:space="preserve">Se analizará la oferta y comportamiento mensual de la energía eléctrica generada a partir de fuentes renovables (eólica, solar, biomasa, biogás, biodiésel y pequeños aprovechamientos hidroeléctricos &lt;= 50 MW) en Argentina, así como la demanda total del Mercado Eléctrico Mayorista (MEM), desagregada por regiones eléctricas, provincias, tecnologías de generación y marcos de contratación (RenAr / RenovAr, MATER, RenMDI, etc.) en el período 2011–2026.</w:t>
            </w:r>
          </w:p>
        </w:tc>
      </w:tr>
      <w:tr>
        <w:trPr>
          <w:cantSplit w:val="0"/>
          <w:trHeight w:val="4785" w:hRule="atLeast"/>
          <w:tblHeader w:val="0"/>
        </w:trPr>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11">
            <w:pPr>
              <w:spacing w:after="200" w:lineRule="auto"/>
              <w:rPr>
                <w:color w:val="ff0000"/>
                <w:sz w:val="19"/>
                <w:szCs w:val="19"/>
              </w:rPr>
            </w:pPr>
            <w:r w:rsidDel="00000000" w:rsidR="00000000" w:rsidRPr="00000000">
              <w:rPr>
                <w:color w:val="ff0000"/>
                <w:sz w:val="19"/>
                <w:szCs w:val="19"/>
                <w:rtl w:val="0"/>
              </w:rPr>
              <w:t xml:space="preserve">Glosario de Términos</w:t>
            </w:r>
          </w:p>
        </w:tc>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12">
            <w:pPr>
              <w:spacing w:after="200" w:lineRule="auto"/>
              <w:rPr>
                <w:sz w:val="19"/>
                <w:szCs w:val="19"/>
              </w:rPr>
            </w:pPr>
            <w:r w:rsidDel="00000000" w:rsidR="00000000" w:rsidRPr="00000000">
              <w:rPr>
                <w:sz w:val="19"/>
                <w:szCs w:val="19"/>
                <w:rtl w:val="0"/>
              </w:rPr>
              <w:t xml:space="preserve">• MEM (Mercado Eléctrico Mayorista): Ámbito donde se realizan las transacciones de compra y venta de energía eléctrica al por mayor en Argentina.</w:t>
              <w:br w:type="textWrapping"/>
              <w:t xml:space="preserve"> • SADI (Sistema Argentino Interconectado): Red física de transporte en alta tensión que conecta a los generadores con los grandes centros de consumo del país.</w:t>
              <w:br w:type="textWrapping"/>
              <w:t xml:space="preserve"> • PAH (&lt;= 50 MW): Pequeños Aprovechamientos Hidroeléctricos con potencia instalada menor o igual a 50 Megavatios, considerados dentro del régimen de energías renovables.</w:t>
              <w:br w:type="textWrapping"/>
              <w:t xml:space="preserve"> • Programa RenovAr / RenAr: Plan estatal de licitaciones públicas para la incorporación de fuentes renovables a la matriz eléctrica nacional (Ley 27.191).</w:t>
              <w:br w:type="textWrapping"/>
              <w:t xml:space="preserve"> • MATER (Mercado a Término de Energías Renovables): Régimen de contratación directa entre generadores de fuentes renovables y Grandes Usuarios del MEM.</w:t>
              <w:br w:type="textWrapping"/>
              <w:t xml:space="preserve"> • RenMDI: Convocatoria abierta para la manifestación de interés y contratación de generación renovable distribuida o regional.</w:t>
              <w:br w:type="textWrapping"/>
              <w:t xml:space="preserve"> • GWh (Gigavatio-hora): Unidad de medida de energía equivalente a 1.000 Megavatios-hora (MWh) o 1.000.000 Kilovatios-hora (kWh).</w:t>
            </w:r>
          </w:p>
        </w:tc>
      </w:tr>
    </w:tbl>
    <w:p w:rsidR="00000000" w:rsidDel="00000000" w:rsidP="00000000" w:rsidRDefault="00000000" w:rsidRPr="00000000" w14:paraId="00000013">
      <w:pPr>
        <w:spacing w:after="120" w:lineRule="auto"/>
        <w:rPr/>
      </w:pPr>
      <w:r w:rsidDel="00000000" w:rsidR="00000000" w:rsidRPr="00000000">
        <w:rPr>
          <w:rtl w:val="0"/>
        </w:rPr>
        <w:t xml:space="preserve"> </w:t>
      </w:r>
    </w:p>
    <w:p w:rsidR="00000000" w:rsidDel="00000000" w:rsidP="00000000" w:rsidRDefault="00000000" w:rsidRPr="00000000" w14:paraId="00000014">
      <w:pPr>
        <w:spacing w:after="120" w:before="280" w:lineRule="auto"/>
        <w:rPr>
          <w:b w:val="1"/>
          <w:bCs w:val="1"/>
          <w:color w:val="1b365d"/>
          <w:sz w:val="24"/>
          <w:szCs w:val="24"/>
        </w:rPr>
      </w:pPr>
      <w:r w:rsidDel="00000000" w:rsidR="00000000" w:rsidRPr="00000000">
        <w:rPr>
          <w:b w:val="1"/>
          <w:bCs w:val="1"/>
          <w:color w:val="1b365d"/>
          <w:sz w:val="24"/>
          <w:szCs w:val="24"/>
          <w:rtl w:val="0"/>
        </w:rPr>
        <w:t xml:space="preserve">3. ANÁLISIS DE DATOS</w:t>
      </w:r>
    </w:p>
    <w:tbl>
      <w:tblPr>
        <w:tblStyle w:val="Table3"/>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75"/>
        <w:gridCol w:w="5805"/>
        <w:tblGridChange w:id="0">
          <w:tblGrid>
            <w:gridCol w:w="3075"/>
            <w:gridCol w:w="5805"/>
          </w:tblGrid>
        </w:tblGridChange>
      </w:tblGrid>
      <w:tr>
        <w:trPr>
          <w:cantSplit w:val="0"/>
          <w:trHeight w:val="690" w:hRule="atLeast"/>
          <w:tblHeader w:val="0"/>
        </w:trPr>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15">
            <w:pPr>
              <w:spacing w:after="200" w:lineRule="auto"/>
              <w:rPr>
                <w:b w:val="1"/>
                <w:bCs w:val="1"/>
                <w:color w:val="ffffff"/>
                <w:sz w:val="20"/>
                <w:szCs w:val="20"/>
              </w:rPr>
            </w:pPr>
            <w:r w:rsidDel="00000000" w:rsidR="00000000" w:rsidRPr="00000000">
              <w:rPr>
                <w:b w:val="1"/>
                <w:bCs w:val="1"/>
                <w:color w:val="ffffff"/>
                <w:sz w:val="20"/>
                <w:szCs w:val="20"/>
                <w:rtl w:val="0"/>
              </w:rPr>
              <w:t xml:space="preserve">Campo de Registro</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16">
            <w:pPr>
              <w:spacing w:after="200" w:lineRule="auto"/>
              <w:rPr>
                <w:b w:val="1"/>
                <w:bCs w:val="1"/>
                <w:color w:val="ffffff"/>
                <w:sz w:val="20"/>
                <w:szCs w:val="20"/>
              </w:rPr>
            </w:pPr>
            <w:r w:rsidDel="00000000" w:rsidR="00000000" w:rsidRPr="00000000">
              <w:rPr>
                <w:b w:val="1"/>
                <w:bCs w:val="1"/>
                <w:color w:val="ffffff"/>
                <w:sz w:val="20"/>
                <w:szCs w:val="20"/>
                <w:rtl w:val="0"/>
              </w:rPr>
              <w:t xml:space="preserve">Contenido / Definición</w:t>
            </w:r>
          </w:p>
        </w:tc>
      </w:tr>
      <w:tr>
        <w:trPr>
          <w:cantSplit w:val="0"/>
          <w:trHeight w:val="6165" w:hRule="atLeast"/>
          <w:tblHeader w:val="0"/>
        </w:trPr>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17">
            <w:pPr>
              <w:spacing w:after="200" w:lineRule="auto"/>
              <w:rPr>
                <w:color w:val="ff0000"/>
                <w:sz w:val="19"/>
                <w:szCs w:val="19"/>
              </w:rPr>
            </w:pPr>
            <w:r w:rsidDel="00000000" w:rsidR="00000000" w:rsidRPr="00000000">
              <w:rPr>
                <w:color w:val="ff0000"/>
                <w:sz w:val="19"/>
                <w:szCs w:val="19"/>
                <w:rtl w:val="0"/>
              </w:rPr>
              <w:t xml:space="preserve">Diccionario Semántico</w:t>
              <w:br w:type="textWrapping"/>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18">
            <w:pPr>
              <w:rPr>
                <w:sz w:val="19"/>
                <w:szCs w:val="19"/>
              </w:rPr>
            </w:pPr>
            <w:r w:rsidDel="00000000" w:rsidR="00000000" w:rsidRPr="00000000">
              <w:rPr>
                <w:sz w:val="19"/>
                <w:szCs w:val="19"/>
                <w:rtl w:val="0"/>
              </w:rPr>
              <w:t xml:space="preserve">AÑO: Identifica el año del registro.</w:t>
              <w:br w:type="textWrapping"/>
            </w:r>
          </w:p>
          <w:p w:rsidR="00000000" w:rsidDel="00000000" w:rsidP="00000000" w:rsidRDefault="00000000" w:rsidRPr="00000000" w14:paraId="00000019">
            <w:pPr>
              <w:rPr>
                <w:sz w:val="19"/>
                <w:szCs w:val="19"/>
              </w:rPr>
            </w:pPr>
            <w:r w:rsidDel="00000000" w:rsidR="00000000" w:rsidRPr="00000000">
              <w:rPr>
                <w:sz w:val="19"/>
                <w:szCs w:val="19"/>
                <w:rtl w:val="0"/>
              </w:rPr>
              <w:t xml:space="preserve">CENTRAL: Identifica la central generadora (abreviatura) o demanda mensual total de la Argentina.</w:t>
            </w:r>
          </w:p>
          <w:p w:rsidR="00000000" w:rsidDel="00000000" w:rsidP="00000000" w:rsidRDefault="00000000" w:rsidRPr="00000000" w14:paraId="0000001A">
            <w:pPr>
              <w:rPr>
                <w:sz w:val="19"/>
                <w:szCs w:val="19"/>
              </w:rPr>
            </w:pPr>
            <w:r w:rsidDel="00000000" w:rsidR="00000000" w:rsidRPr="00000000">
              <w:rPr>
                <w:rtl w:val="0"/>
              </w:rPr>
            </w:r>
          </w:p>
          <w:p w:rsidR="00000000" w:rsidDel="00000000" w:rsidP="00000000" w:rsidRDefault="00000000" w:rsidRPr="00000000" w14:paraId="0000001B">
            <w:pPr>
              <w:rPr>
                <w:sz w:val="19"/>
                <w:szCs w:val="19"/>
              </w:rPr>
            </w:pPr>
            <w:r w:rsidDel="00000000" w:rsidR="00000000" w:rsidRPr="00000000">
              <w:rPr>
                <w:sz w:val="19"/>
                <w:szCs w:val="19"/>
                <w:rtl w:val="0"/>
              </w:rPr>
              <w:t xml:space="preserve">CENTRAL DESCRIPCIÓN: Detalla la central generadora.</w:t>
              <w:br w:type="textWrapping"/>
            </w:r>
          </w:p>
          <w:p w:rsidR="00000000" w:rsidDel="00000000" w:rsidP="00000000" w:rsidRDefault="00000000" w:rsidRPr="00000000" w14:paraId="0000001C">
            <w:pPr>
              <w:rPr>
                <w:sz w:val="19"/>
                <w:szCs w:val="19"/>
              </w:rPr>
            </w:pPr>
            <w:r w:rsidDel="00000000" w:rsidR="00000000" w:rsidRPr="00000000">
              <w:rPr>
                <w:sz w:val="19"/>
                <w:szCs w:val="19"/>
                <w:rtl w:val="0"/>
              </w:rPr>
              <w:t xml:space="preserve">MAQUINA: Identificador de la máquina o unidad de generación asociada a la central.</w:t>
            </w:r>
          </w:p>
          <w:p w:rsidR="00000000" w:rsidDel="00000000" w:rsidP="00000000" w:rsidRDefault="00000000" w:rsidRPr="00000000" w14:paraId="0000001D">
            <w:pPr>
              <w:rPr>
                <w:sz w:val="19"/>
                <w:szCs w:val="19"/>
              </w:rPr>
            </w:pPr>
            <w:r w:rsidDel="00000000" w:rsidR="00000000" w:rsidRPr="00000000">
              <w:rPr>
                <w:sz w:val="19"/>
                <w:szCs w:val="19"/>
                <w:rtl w:val="0"/>
              </w:rPr>
              <w:t xml:space="preserve"> </w:t>
            </w:r>
          </w:p>
          <w:p w:rsidR="00000000" w:rsidDel="00000000" w:rsidP="00000000" w:rsidRDefault="00000000" w:rsidRPr="00000000" w14:paraId="0000001E">
            <w:pPr>
              <w:rPr>
                <w:sz w:val="19"/>
                <w:szCs w:val="19"/>
              </w:rPr>
            </w:pPr>
            <w:r w:rsidDel="00000000" w:rsidR="00000000" w:rsidRPr="00000000">
              <w:rPr>
                <w:sz w:val="19"/>
                <w:szCs w:val="19"/>
                <w:rtl w:val="0"/>
              </w:rPr>
              <w:t xml:space="preserve">FUENTE DE ENERGÍA: Tipo de fuente de energía renovable utilizada para la generación. (EOLICO, SOLAR, BIOMASA, BIOGAS, BIODIESEL, HIDRO &lt;= 50MW, DEMANDA MEM).</w:t>
              <w:br w:type="textWrapping"/>
            </w:r>
          </w:p>
          <w:p w:rsidR="00000000" w:rsidDel="00000000" w:rsidP="00000000" w:rsidRDefault="00000000" w:rsidRPr="00000000" w14:paraId="0000001F">
            <w:pPr>
              <w:rPr>
                <w:sz w:val="19"/>
                <w:szCs w:val="19"/>
              </w:rPr>
            </w:pPr>
            <w:r w:rsidDel="00000000" w:rsidR="00000000" w:rsidRPr="00000000">
              <w:rPr>
                <w:sz w:val="19"/>
                <w:szCs w:val="19"/>
                <w:rtl w:val="0"/>
              </w:rPr>
              <w:t xml:space="preserve">REGIÓN: Región del país donde se encuentra ubicada la central.</w:t>
            </w:r>
          </w:p>
          <w:p w:rsidR="00000000" w:rsidDel="00000000" w:rsidP="00000000" w:rsidRDefault="00000000" w:rsidRPr="00000000" w14:paraId="00000020">
            <w:pPr>
              <w:rPr>
                <w:sz w:val="19"/>
                <w:szCs w:val="19"/>
              </w:rPr>
            </w:pPr>
            <w:r w:rsidDel="00000000" w:rsidR="00000000" w:rsidRPr="00000000">
              <w:rPr>
                <w:sz w:val="19"/>
                <w:szCs w:val="19"/>
                <w:rtl w:val="0"/>
              </w:rPr>
              <w:t xml:space="preserve"> </w:t>
            </w:r>
          </w:p>
          <w:p w:rsidR="00000000" w:rsidDel="00000000" w:rsidP="00000000" w:rsidRDefault="00000000" w:rsidRPr="00000000" w14:paraId="00000021">
            <w:pPr>
              <w:rPr>
                <w:sz w:val="19"/>
                <w:szCs w:val="19"/>
              </w:rPr>
            </w:pPr>
            <w:r w:rsidDel="00000000" w:rsidR="00000000" w:rsidRPr="00000000">
              <w:rPr>
                <w:sz w:val="19"/>
                <w:szCs w:val="19"/>
                <w:rtl w:val="0"/>
              </w:rPr>
              <w:t xml:space="preserve">PROVINCIA: Identifica la provincia.</w:t>
              <w:br w:type="textWrapping"/>
            </w:r>
          </w:p>
          <w:p w:rsidR="00000000" w:rsidDel="00000000" w:rsidP="00000000" w:rsidRDefault="00000000" w:rsidRPr="00000000" w14:paraId="00000022">
            <w:pPr>
              <w:rPr>
                <w:sz w:val="19"/>
                <w:szCs w:val="19"/>
              </w:rPr>
            </w:pPr>
            <w:r w:rsidDel="00000000" w:rsidR="00000000" w:rsidRPr="00000000">
              <w:rPr>
                <w:sz w:val="19"/>
                <w:szCs w:val="19"/>
                <w:rtl w:val="0"/>
              </w:rPr>
              <w:t xml:space="preserve">MES: Mes correspondiente al período registrado.</w:t>
              <w:br w:type="textWrapping"/>
            </w:r>
          </w:p>
          <w:p w:rsidR="00000000" w:rsidDel="00000000" w:rsidP="00000000" w:rsidRDefault="00000000" w:rsidRPr="00000000" w14:paraId="00000023">
            <w:pPr>
              <w:rPr>
                <w:sz w:val="19"/>
                <w:szCs w:val="19"/>
              </w:rPr>
            </w:pPr>
            <w:r w:rsidDel="00000000" w:rsidR="00000000" w:rsidRPr="00000000">
              <w:rPr>
                <w:sz w:val="19"/>
                <w:szCs w:val="19"/>
                <w:rtl w:val="0"/>
              </w:rPr>
              <w:t xml:space="preserve">ENERGÍA GENERADA: Cantidad de energía eléctrica generada durante el período.</w:t>
            </w:r>
          </w:p>
          <w:p w:rsidR="00000000" w:rsidDel="00000000" w:rsidP="00000000" w:rsidRDefault="00000000" w:rsidRPr="00000000" w14:paraId="00000024">
            <w:pPr>
              <w:rPr>
                <w:sz w:val="19"/>
                <w:szCs w:val="19"/>
              </w:rPr>
            </w:pPr>
            <w:r w:rsidDel="00000000" w:rsidR="00000000" w:rsidRPr="00000000">
              <w:rPr>
                <w:sz w:val="19"/>
                <w:szCs w:val="19"/>
                <w:rtl w:val="0"/>
              </w:rPr>
              <w:t xml:space="preserve"> </w:t>
            </w:r>
          </w:p>
          <w:p w:rsidR="00000000" w:rsidDel="00000000" w:rsidP="00000000" w:rsidRDefault="00000000" w:rsidRPr="00000000" w14:paraId="00000025">
            <w:pPr>
              <w:rPr>
                <w:sz w:val="19"/>
                <w:szCs w:val="19"/>
              </w:rPr>
            </w:pPr>
            <w:r w:rsidDel="00000000" w:rsidR="00000000" w:rsidRPr="00000000">
              <w:rPr>
                <w:sz w:val="19"/>
                <w:szCs w:val="19"/>
                <w:rtl w:val="0"/>
              </w:rPr>
              <w:t xml:space="preserve">NUEVA GENERACIÓN: Categorización del marco normativo, mercado o programa bajo el cual comercializa/opera el proyecto. (RenovAr, MATER, SPOT MATER, RenMDI, Resto, Demanda).</w:t>
            </w:r>
          </w:p>
        </w:tc>
      </w:tr>
      <w:tr>
        <w:trPr>
          <w:cantSplit w:val="0"/>
          <w:trHeight w:val="3480" w:hRule="atLeast"/>
          <w:tblHeader w:val="0"/>
        </w:trPr>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6">
            <w:pPr>
              <w:spacing w:after="200" w:lineRule="auto"/>
              <w:rPr>
                <w:color w:val="ff0000"/>
                <w:sz w:val="19"/>
                <w:szCs w:val="19"/>
              </w:rPr>
            </w:pPr>
            <w:r w:rsidDel="00000000" w:rsidR="00000000" w:rsidRPr="00000000">
              <w:rPr>
                <w:color w:val="ff0000"/>
                <w:sz w:val="19"/>
                <w:szCs w:val="19"/>
                <w:rtl w:val="0"/>
              </w:rPr>
              <w:t xml:space="preserve">Factores Externos</w:t>
              <w:br w:type="textWrapping"/>
              <w:t xml:space="preserve"> </w:t>
            </w:r>
          </w:p>
        </w:tc>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27">
            <w:pPr>
              <w:spacing w:after="200" w:lineRule="auto"/>
              <w:rPr>
                <w:sz w:val="19"/>
                <w:szCs w:val="19"/>
              </w:rPr>
            </w:pPr>
            <w:r w:rsidDel="00000000" w:rsidR="00000000" w:rsidRPr="00000000">
              <w:rPr>
                <w:sz w:val="19"/>
                <w:szCs w:val="19"/>
                <w:rtl w:val="0"/>
              </w:rPr>
              <w:t xml:space="preserve">• Condiciones Climáticas y Recursos Naturales: Variabilidad de vientos, niveles de radiación solar, hidrología/caudales de ríos (sequías o crecidas) y estacionalidad agrícola (disponibilidad de biomasa/biogás/biodiésel).</w:t>
              <w:br w:type="textWrapping"/>
              <w:t xml:space="preserve"> • Cambios Normativos y Políticas Públicas: Promulgación de la Ley 27.191, reglamentación del mercado MATER, contratos PPA (Power Purchase Agreements) y metas de incorporación de energías renovables.</w:t>
              <w:br w:type="textWrapping"/>
              <w:t xml:space="preserve"> • Restricciones de Transporte / Red SADI(Sistema Argentino Interconectado)  : Cuellos de botella en líneas de transmisión en alta tensión que limitan el despacho de nueva generación.</w:t>
              <w:br w:type="textWrapping"/>
              <w:t xml:space="preserve"> • Factores Macroeconómicos: Hitos de inversión, acceso al crédito para financiamiento de obras de infraestructura, inflación y variaciones tarifarias.</w:t>
            </w:r>
          </w:p>
        </w:tc>
      </w:tr>
    </w:tbl>
    <w:p w:rsidR="00000000" w:rsidDel="00000000" w:rsidP="00000000" w:rsidRDefault="00000000" w:rsidRPr="00000000" w14:paraId="00000028">
      <w:pPr>
        <w:spacing w:after="120" w:lineRule="auto"/>
        <w:rPr/>
      </w:pPr>
      <w:r w:rsidDel="00000000" w:rsidR="00000000" w:rsidRPr="00000000">
        <w:rPr>
          <w:rtl w:val="0"/>
        </w:rPr>
        <w:t xml:space="preserve"> </w:t>
      </w:r>
    </w:p>
    <w:p w:rsidR="00000000" w:rsidDel="00000000" w:rsidP="00000000" w:rsidRDefault="00000000" w:rsidRPr="00000000" w14:paraId="00000029">
      <w:pPr>
        <w:spacing w:after="120" w:before="280" w:lineRule="auto"/>
        <w:rPr>
          <w:b w:val="1"/>
          <w:bCs w:val="1"/>
          <w:color w:val="1b365d"/>
          <w:sz w:val="24"/>
          <w:szCs w:val="24"/>
        </w:rPr>
      </w:pPr>
      <w:r w:rsidDel="00000000" w:rsidR="00000000" w:rsidRPr="00000000">
        <w:rPr>
          <w:b w:val="1"/>
          <w:bCs w:val="1"/>
          <w:color w:val="1b365d"/>
          <w:sz w:val="24"/>
          <w:szCs w:val="24"/>
          <w:rtl w:val="0"/>
        </w:rPr>
        <w:t xml:space="preserve">4. PREGUNTAS DE ANÁLISIS</w:t>
      </w:r>
    </w:p>
    <w:tbl>
      <w:tblPr>
        <w:tblStyle w:val="Table4"/>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5"/>
        <w:gridCol w:w="2340"/>
        <w:gridCol w:w="2325"/>
        <w:gridCol w:w="2040"/>
        <w:tblGridChange w:id="0">
          <w:tblGrid>
            <w:gridCol w:w="2175"/>
            <w:gridCol w:w="2340"/>
            <w:gridCol w:w="2325"/>
            <w:gridCol w:w="2040"/>
          </w:tblGrid>
        </w:tblGridChange>
      </w:tblGrid>
      <w:tr>
        <w:trPr>
          <w:cantSplit w:val="0"/>
          <w:trHeight w:val="915" w:hRule="atLeast"/>
          <w:tblHeader w:val="0"/>
        </w:trPr>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2A">
            <w:pPr>
              <w:spacing w:after="200" w:lineRule="auto"/>
              <w:rPr>
                <w:b w:val="1"/>
                <w:bCs w:val="1"/>
                <w:color w:val="ffffff"/>
                <w:sz w:val="20"/>
                <w:szCs w:val="20"/>
              </w:rPr>
            </w:pPr>
            <w:r w:rsidDel="00000000" w:rsidR="00000000" w:rsidRPr="00000000">
              <w:rPr>
                <w:b w:val="1"/>
                <w:bCs w:val="1"/>
                <w:color w:val="ffffff"/>
                <w:sz w:val="20"/>
                <w:szCs w:val="20"/>
                <w:rtl w:val="0"/>
              </w:rPr>
              <w:t xml:space="preserve">Pregunta de Análisis</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2B">
            <w:pPr>
              <w:spacing w:after="200" w:lineRule="auto"/>
              <w:rPr>
                <w:b w:val="1"/>
                <w:bCs w:val="1"/>
                <w:color w:val="ffffff"/>
                <w:sz w:val="20"/>
                <w:szCs w:val="20"/>
              </w:rPr>
            </w:pPr>
            <w:r w:rsidDel="00000000" w:rsidR="00000000" w:rsidRPr="00000000">
              <w:rPr>
                <w:b w:val="1"/>
                <w:bCs w:val="1"/>
                <w:color w:val="ffffff"/>
                <w:sz w:val="20"/>
                <w:szCs w:val="20"/>
                <w:rtl w:val="0"/>
              </w:rPr>
              <w:t xml:space="preserve">Aporte de Valor</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2C">
            <w:pPr>
              <w:spacing w:after="200" w:lineRule="auto"/>
              <w:rPr>
                <w:b w:val="1"/>
                <w:bCs w:val="1"/>
                <w:color w:val="ffffff"/>
                <w:sz w:val="20"/>
                <w:szCs w:val="20"/>
              </w:rPr>
            </w:pPr>
            <w:r w:rsidDel="00000000" w:rsidR="00000000" w:rsidRPr="00000000">
              <w:rPr>
                <w:b w:val="1"/>
                <w:bCs w:val="1"/>
                <w:color w:val="ffffff"/>
                <w:sz w:val="20"/>
                <w:szCs w:val="20"/>
                <w:rtl w:val="0"/>
              </w:rPr>
              <w:t xml:space="preserve">Alcance</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2D">
            <w:pPr>
              <w:spacing w:after="200" w:lineRule="auto"/>
              <w:rPr>
                <w:b w:val="1"/>
                <w:bCs w:val="1"/>
                <w:color w:val="ffffff"/>
                <w:sz w:val="20"/>
                <w:szCs w:val="20"/>
              </w:rPr>
            </w:pPr>
            <w:r w:rsidDel="00000000" w:rsidR="00000000" w:rsidRPr="00000000">
              <w:rPr>
                <w:b w:val="1"/>
                <w:bCs w:val="1"/>
                <w:color w:val="ffffff"/>
                <w:sz w:val="20"/>
                <w:szCs w:val="20"/>
                <w:rtl w:val="0"/>
              </w:rPr>
              <w:t xml:space="preserve">Enfoque</w:t>
            </w:r>
          </w:p>
        </w:tc>
      </w:tr>
      <w:tr>
        <w:trPr>
          <w:cantSplit w:val="0"/>
          <w:trHeight w:val="2610" w:hRule="atLeast"/>
          <w:tblHeader w:val="0"/>
        </w:trPr>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2E">
            <w:pPr>
              <w:spacing w:after="200" w:lineRule="auto"/>
              <w:rPr>
                <w:color w:val="00ff00"/>
                <w:sz w:val="19"/>
                <w:szCs w:val="19"/>
              </w:rPr>
            </w:pPr>
            <w:r w:rsidDel="00000000" w:rsidR="00000000" w:rsidRPr="00000000">
              <w:rPr>
                <w:color w:val="00ff00"/>
                <w:sz w:val="19"/>
                <w:szCs w:val="19"/>
                <w:rtl w:val="0"/>
              </w:rPr>
              <w:t xml:space="preserve">1. ¿Cómo ha evolucionado la participación de las energías renovables respecto a la Demanda Total del MEM entre 2011 y 2026?</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2F">
            <w:pPr>
              <w:spacing w:after="200" w:lineRule="auto"/>
              <w:rPr>
                <w:color w:val="00ff00"/>
                <w:sz w:val="19"/>
                <w:szCs w:val="19"/>
              </w:rPr>
            </w:pPr>
            <w:r w:rsidDel="00000000" w:rsidR="00000000" w:rsidRPr="00000000">
              <w:rPr>
                <w:color w:val="00ff00"/>
                <w:sz w:val="19"/>
                <w:szCs w:val="19"/>
                <w:rtl w:val="0"/>
              </w:rPr>
              <w:t xml:space="preserve">Permite evaluar cuantitativamente el cumplimiento de los objetivos de transición energética nacionales (Ley 27.191) y el crecimiento real de las renovables frente a la demanda eléctrica global del país.</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0">
            <w:pPr>
              <w:spacing w:after="200" w:lineRule="auto"/>
              <w:rPr>
                <w:color w:val="00ff00"/>
                <w:sz w:val="19"/>
                <w:szCs w:val="19"/>
              </w:rPr>
            </w:pPr>
            <w:r w:rsidDel="00000000" w:rsidR="00000000" w:rsidRPr="00000000">
              <w:rPr>
                <w:color w:val="00ff00"/>
                <w:sz w:val="19"/>
                <w:szCs w:val="19"/>
                <w:rtl w:val="0"/>
              </w:rPr>
              <w:t xml:space="preserve">Temporal: 2011 - 2026</w:t>
              <w:br w:type="textWrapping"/>
              <w:t xml:space="preserve"> Territorial: Nacional (SADI / MEM)</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1">
            <w:pPr>
              <w:spacing w:after="200" w:lineRule="auto"/>
              <w:rPr>
                <w:color w:val="00ff00"/>
                <w:sz w:val="19"/>
                <w:szCs w:val="19"/>
              </w:rPr>
            </w:pPr>
            <w:r w:rsidDel="00000000" w:rsidR="00000000" w:rsidRPr="00000000">
              <w:rPr>
                <w:color w:val="00ff00"/>
                <w:sz w:val="19"/>
                <w:szCs w:val="19"/>
                <w:rtl w:val="0"/>
              </w:rPr>
              <w:t xml:space="preserve">Perspectiva macroestratégica del balance energético. Se espera determinar la tasa de cobertura de la demanda por tecnología año a año.</w:t>
            </w:r>
          </w:p>
        </w:tc>
      </w:tr>
      <w:tr>
        <w:trPr>
          <w:cantSplit w:val="0"/>
          <w:trHeight w:val="2820" w:hRule="atLeast"/>
          <w:tblHeader w:val="0"/>
        </w:trPr>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2">
            <w:pPr>
              <w:spacing w:after="200" w:lineRule="auto"/>
              <w:rPr>
                <w:color w:val="00ff00"/>
                <w:sz w:val="19"/>
                <w:szCs w:val="19"/>
              </w:rPr>
            </w:pPr>
            <w:r w:rsidDel="00000000" w:rsidR="00000000" w:rsidRPr="00000000">
              <w:rPr>
                <w:color w:val="00ff00"/>
                <w:sz w:val="19"/>
                <w:szCs w:val="19"/>
                <w:rtl w:val="0"/>
              </w:rPr>
              <w:t xml:space="preserve">2. ¿Cuáles son las regiones y provincias con mayor concentración de generación eólica y solar, y cómo ha impactado el desarrollo del programa RenovAr y la modalidad MATER en su distribución?</w:t>
            </w:r>
          </w:p>
        </w:tc>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3">
            <w:pPr>
              <w:spacing w:after="200" w:lineRule="auto"/>
              <w:rPr>
                <w:color w:val="00ff00"/>
                <w:sz w:val="19"/>
                <w:szCs w:val="19"/>
              </w:rPr>
            </w:pPr>
            <w:r w:rsidDel="00000000" w:rsidR="00000000" w:rsidRPr="00000000">
              <w:rPr>
                <w:color w:val="00ff00"/>
                <w:sz w:val="19"/>
                <w:szCs w:val="19"/>
                <w:rtl w:val="0"/>
              </w:rPr>
              <w:t xml:space="preserve">Aporta visibilidad geográfica sobre la descentralización de la matriz, identificando los polos energéticos regionales y la efectividad de los incentivos públicos vs. contratos privados (MATER).</w:t>
            </w:r>
          </w:p>
        </w:tc>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4">
            <w:pPr>
              <w:spacing w:after="200" w:lineRule="auto"/>
              <w:rPr>
                <w:color w:val="00ff00"/>
                <w:sz w:val="19"/>
                <w:szCs w:val="19"/>
              </w:rPr>
            </w:pPr>
            <w:r w:rsidDel="00000000" w:rsidR="00000000" w:rsidRPr="00000000">
              <w:rPr>
                <w:color w:val="00ff00"/>
                <w:sz w:val="19"/>
                <w:szCs w:val="19"/>
                <w:rtl w:val="0"/>
              </w:rPr>
              <w:t xml:space="preserve">Territorial: Regiones y Provincias de Argentina</w:t>
              <w:br w:type="textWrapping"/>
              <w:t xml:space="preserve"> Poblacional/Económico: Mercado Eléctrico</w:t>
            </w:r>
          </w:p>
        </w:tc>
        <w:tc>
          <w:tcPr>
            <w:tcBorders>
              <w:top w:color="000000" w:space="0" w:sz="0" w:val="nil"/>
              <w:left w:color="000000" w:space="0" w:sz="0" w:val="nil"/>
              <w:bottom w:color="d1d5db" w:space="0" w:sz="8" w:val="single"/>
              <w:right w:color="000000" w:space="0" w:sz="0" w:val="nil"/>
            </w:tcBorders>
            <w:shd w:fill="f9fafb" w:val="clear"/>
            <w:tcMar>
              <w:top w:w="100.0" w:type="dxa"/>
              <w:left w:w="160.0" w:type="dxa"/>
              <w:bottom w:w="100.0" w:type="dxa"/>
              <w:right w:w="160.0" w:type="dxa"/>
            </w:tcMar>
            <w:vAlign w:val="top"/>
          </w:tcPr>
          <w:p w:rsidR="00000000" w:rsidDel="00000000" w:rsidP="00000000" w:rsidRDefault="00000000" w:rsidRPr="00000000" w14:paraId="00000035">
            <w:pPr>
              <w:spacing w:after="200" w:lineRule="auto"/>
              <w:rPr>
                <w:color w:val="00ff00"/>
                <w:sz w:val="19"/>
                <w:szCs w:val="19"/>
              </w:rPr>
            </w:pPr>
            <w:r w:rsidDel="00000000" w:rsidR="00000000" w:rsidRPr="00000000">
              <w:rPr>
                <w:color w:val="00ff00"/>
                <w:sz w:val="19"/>
                <w:szCs w:val="19"/>
                <w:rtl w:val="0"/>
              </w:rPr>
              <w:t xml:space="preserve">Perspectiva geoeconómica y regulatoria. Se busca analizar el impacto de las diferentes modalidades de contratación (Nueva Generación) en el territorio nacional.</w:t>
            </w:r>
          </w:p>
        </w:tc>
      </w:tr>
      <w:tr>
        <w:trPr>
          <w:cantSplit w:val="0"/>
          <w:trHeight w:val="2385" w:hRule="atLeast"/>
          <w:tblHeader w:val="0"/>
        </w:trPr>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6">
            <w:pPr>
              <w:spacing w:after="200" w:lineRule="auto"/>
              <w:rPr>
                <w:color w:val="00ff00"/>
                <w:sz w:val="19"/>
                <w:szCs w:val="19"/>
              </w:rPr>
            </w:pPr>
            <w:r w:rsidDel="00000000" w:rsidR="00000000" w:rsidRPr="00000000">
              <w:rPr>
                <w:color w:val="00ff00"/>
                <w:sz w:val="19"/>
                <w:szCs w:val="19"/>
                <w:rtl w:val="0"/>
              </w:rPr>
              <w:t xml:space="preserve">3. ¿Existe un patrón estacional diferenciado en la producción de energía según la fuente (Eólica vs. Solar vs. Hidro/Biomasa)?</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7">
            <w:pPr>
              <w:spacing w:after="200" w:lineRule="auto"/>
              <w:rPr>
                <w:color w:val="00ff00"/>
                <w:sz w:val="19"/>
                <w:szCs w:val="19"/>
              </w:rPr>
            </w:pPr>
            <w:r w:rsidDel="00000000" w:rsidR="00000000" w:rsidRPr="00000000">
              <w:rPr>
                <w:color w:val="00ff00"/>
                <w:sz w:val="19"/>
                <w:szCs w:val="19"/>
                <w:rtl w:val="0"/>
              </w:rPr>
              <w:t xml:space="preserve">Ayuda a comprender la complementariedad entre los diferentes recursos renovables a lo largo de los meses del año para la planificación de la estabilidad de la red eléctrica.</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8">
            <w:pPr>
              <w:spacing w:after="200" w:lineRule="auto"/>
              <w:rPr>
                <w:color w:val="00ff00"/>
                <w:sz w:val="19"/>
                <w:szCs w:val="19"/>
              </w:rPr>
            </w:pPr>
            <w:r w:rsidDel="00000000" w:rsidR="00000000" w:rsidRPr="00000000">
              <w:rPr>
                <w:color w:val="00ff00"/>
                <w:sz w:val="19"/>
                <w:szCs w:val="19"/>
                <w:rtl w:val="0"/>
              </w:rPr>
              <w:t xml:space="preserve">Temporal: Mensual acumulado (2011 - 2026)</w:t>
              <w:br w:type="textWrapping"/>
              <w:t xml:space="preserve"> Poblacional: Centros de generación por tecnología</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9">
            <w:pPr>
              <w:spacing w:after="200" w:lineRule="auto"/>
              <w:rPr>
                <w:color w:val="00ff00"/>
                <w:sz w:val="19"/>
                <w:szCs w:val="19"/>
              </w:rPr>
            </w:pPr>
            <w:r w:rsidDel="00000000" w:rsidR="00000000" w:rsidRPr="00000000">
              <w:rPr>
                <w:color w:val="00ff00"/>
                <w:sz w:val="19"/>
                <w:szCs w:val="19"/>
                <w:rtl w:val="0"/>
              </w:rPr>
              <w:t xml:space="preserve">Perspectiva técnica de operación de red. Se busca identificar picos estacionales de producción y su correlación entre recursos renovables.</w:t>
            </w:r>
          </w:p>
        </w:tc>
      </w:tr>
    </w:tbl>
    <w:p w:rsidR="00000000" w:rsidDel="00000000" w:rsidP="00000000" w:rsidRDefault="00000000" w:rsidRPr="00000000" w14:paraId="0000003A">
      <w:pPr>
        <w:spacing w:after="120" w:lineRule="auto"/>
        <w:rPr/>
      </w:pPr>
      <w:r w:rsidDel="00000000" w:rsidR="00000000" w:rsidRPr="00000000">
        <w:rPr>
          <w:rtl w:val="0"/>
        </w:rPr>
        <w:t xml:space="preserve"> </w:t>
      </w:r>
    </w:p>
    <w:p w:rsidR="00000000" w:rsidDel="00000000" w:rsidP="00000000" w:rsidRDefault="00000000" w:rsidRPr="00000000" w14:paraId="0000003B">
      <w:pPr>
        <w:spacing w:after="120" w:before="280" w:lineRule="auto"/>
        <w:rPr>
          <w:b w:val="1"/>
          <w:bCs w:val="1"/>
          <w:color w:val="1b365d"/>
          <w:sz w:val="24"/>
          <w:szCs w:val="24"/>
        </w:rPr>
      </w:pPr>
      <w:r w:rsidDel="00000000" w:rsidR="00000000" w:rsidRPr="00000000">
        <w:rPr>
          <w:b w:val="1"/>
          <w:bCs w:val="1"/>
          <w:color w:val="1b365d"/>
          <w:sz w:val="24"/>
          <w:szCs w:val="24"/>
          <w:rtl w:val="0"/>
        </w:rPr>
        <w:t xml:space="preserve">5. OBSERVACIONES</w:t>
      </w:r>
    </w:p>
    <w:tbl>
      <w:tblPr>
        <w:tblStyle w:val="Table5"/>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50"/>
        <w:gridCol w:w="5730"/>
        <w:tblGridChange w:id="0">
          <w:tblGrid>
            <w:gridCol w:w="3150"/>
            <w:gridCol w:w="5730"/>
          </w:tblGrid>
        </w:tblGridChange>
      </w:tblGrid>
      <w:tr>
        <w:trPr>
          <w:cantSplit w:val="0"/>
          <w:trHeight w:val="690" w:hRule="atLeast"/>
          <w:tblHeader w:val="0"/>
        </w:trPr>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3C">
            <w:pPr>
              <w:spacing w:after="200" w:lineRule="auto"/>
              <w:rPr>
                <w:b w:val="1"/>
                <w:bCs w:val="1"/>
                <w:color w:val="ffffff"/>
                <w:sz w:val="20"/>
                <w:szCs w:val="20"/>
              </w:rPr>
            </w:pPr>
            <w:r w:rsidDel="00000000" w:rsidR="00000000" w:rsidRPr="00000000">
              <w:rPr>
                <w:b w:val="1"/>
                <w:bCs w:val="1"/>
                <w:color w:val="ffffff"/>
                <w:sz w:val="20"/>
                <w:szCs w:val="20"/>
                <w:rtl w:val="0"/>
              </w:rPr>
              <w:t xml:space="preserve">Campo de Registro</w:t>
            </w:r>
          </w:p>
        </w:tc>
        <w:tc>
          <w:tcPr>
            <w:tcBorders>
              <w:top w:color="d1d5db" w:space="0" w:sz="8" w:val="single"/>
              <w:left w:color="000000" w:space="0" w:sz="0" w:val="nil"/>
              <w:bottom w:color="d1d5db" w:space="0" w:sz="8" w:val="single"/>
              <w:right w:color="000000" w:space="0" w:sz="0" w:val="nil"/>
            </w:tcBorders>
            <w:shd w:fill="1b365d" w:val="clear"/>
            <w:tcMar>
              <w:top w:w="120.0" w:type="dxa"/>
              <w:left w:w="160.0" w:type="dxa"/>
              <w:bottom w:w="120.0" w:type="dxa"/>
              <w:right w:w="160.0" w:type="dxa"/>
            </w:tcMar>
            <w:vAlign w:val="top"/>
          </w:tcPr>
          <w:p w:rsidR="00000000" w:rsidDel="00000000" w:rsidP="00000000" w:rsidRDefault="00000000" w:rsidRPr="00000000" w14:paraId="0000003D">
            <w:pPr>
              <w:spacing w:after="200" w:lineRule="auto"/>
              <w:rPr>
                <w:b w:val="1"/>
                <w:bCs w:val="1"/>
                <w:color w:val="ffffff"/>
                <w:sz w:val="20"/>
                <w:szCs w:val="20"/>
              </w:rPr>
            </w:pPr>
            <w:r w:rsidDel="00000000" w:rsidR="00000000" w:rsidRPr="00000000">
              <w:rPr>
                <w:b w:val="1"/>
                <w:bCs w:val="1"/>
                <w:color w:val="ffffff"/>
                <w:sz w:val="20"/>
                <w:szCs w:val="20"/>
                <w:rtl w:val="0"/>
              </w:rPr>
              <w:t xml:space="preserve">Contenido / Definición</w:t>
            </w:r>
          </w:p>
        </w:tc>
      </w:tr>
      <w:tr>
        <w:trPr>
          <w:cantSplit w:val="0"/>
          <w:trHeight w:val="3255" w:hRule="atLeast"/>
          <w:tblHeader w:val="0"/>
        </w:trPr>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E">
            <w:pPr>
              <w:spacing w:after="200" w:lineRule="auto"/>
              <w:rPr>
                <w:color w:val="ff0000"/>
                <w:sz w:val="19"/>
                <w:szCs w:val="19"/>
              </w:rPr>
            </w:pPr>
            <w:r w:rsidDel="00000000" w:rsidR="00000000" w:rsidRPr="00000000">
              <w:rPr>
                <w:color w:val="ff0000"/>
                <w:sz w:val="19"/>
                <w:szCs w:val="19"/>
                <w:rtl w:val="0"/>
              </w:rPr>
              <w:t xml:space="preserve">Limitaciones Identificadas</w:t>
              <w:br w:type="textWrapping"/>
              <w:t xml:space="preserve"> </w:t>
            </w:r>
          </w:p>
        </w:tc>
        <w:tc>
          <w:tcPr>
            <w:tcBorders>
              <w:top w:color="000000" w:space="0" w:sz="0" w:val="nil"/>
              <w:left w:color="000000" w:space="0" w:sz="0" w:val="nil"/>
              <w:bottom w:color="d1d5db" w:space="0" w:sz="8" w:val="single"/>
              <w:right w:color="000000" w:space="0" w:sz="0" w:val="nil"/>
            </w:tcBorders>
            <w:shd w:fill="ffffff" w:val="clear"/>
            <w:tcMar>
              <w:top w:w="100.0" w:type="dxa"/>
              <w:left w:w="160.0" w:type="dxa"/>
              <w:bottom w:w="100.0" w:type="dxa"/>
              <w:right w:w="160.0" w:type="dxa"/>
            </w:tcMar>
            <w:vAlign w:val="top"/>
          </w:tcPr>
          <w:p w:rsidR="00000000" w:rsidDel="00000000" w:rsidP="00000000" w:rsidRDefault="00000000" w:rsidRPr="00000000" w14:paraId="0000003F">
            <w:pPr>
              <w:spacing w:after="200" w:lineRule="auto"/>
              <w:rPr>
                <w:sz w:val="19"/>
                <w:szCs w:val="19"/>
              </w:rPr>
            </w:pPr>
            <w:r w:rsidDel="00000000" w:rsidR="00000000" w:rsidRPr="00000000">
              <w:rPr>
                <w:sz w:val="19"/>
                <w:szCs w:val="19"/>
                <w:rtl w:val="0"/>
              </w:rPr>
              <w:t xml:space="preserve">• Integración de Fuentes Térmicas Tradicionales: La base incluye la categoría DEMANDA MEM de forma global, pero no desagrega el detalle de las fuentes térmicas convencionales (gas natural, fueloil, carbón) ni la generación nuclear o grandes hidroeléctricas (&gt; 50 MW).</w:t>
              <w:br w:type="textWrapping"/>
              <w:t xml:space="preserve"> • Datos de Potencia Instalada (MW): Los datos reflejan únicamente la energía generada (GWh), sin contar con la capacidad instalada (MW) disponible por máquina, lo que limita el cálculo exacto del Factor de Capacidad (CF) de cada parque.</w:t>
              <w:br w:type="textWrapping"/>
              <w:t xml:space="preserve"> • Incompletitud del Año 2026: Por tratarse de un año en curso, el último período registrado presenta información parcial, por lo que requerirá anualización o filtrado para evitar sesgos al realizar comparaciones interanuales.</w:t>
            </w:r>
          </w:p>
        </w:tc>
      </w:tr>
    </w:tbl>
    <w:p w:rsidR="00000000" w:rsidDel="00000000" w:rsidP="00000000" w:rsidRDefault="00000000" w:rsidRPr="00000000" w14:paraId="00000040">
      <w:pPr>
        <w:spacing w:after="120" w:lineRule="auto"/>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