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3c78d8"/>
          <w:sz w:val="28"/>
          <w:szCs w:val="28"/>
          <w:rtl w:val="0"/>
        </w:rPr>
        <w:t xml:space="preserve">ENERGÍA ELÉCTRICA</w:t>
        <w:br w:type="textWrapping"/>
        <w:br w:type="textWrapping"/>
        <w:t xml:space="preserve">Ley 27191</w:t>
        <w:br w:type="textWrapping"/>
      </w:r>
      <w:r w:rsidDel="00000000" w:rsidR="00000000" w:rsidRPr="00000000">
        <w:rPr>
          <w:b w:val="1"/>
          <w:bCs w:val="1"/>
          <w:rtl w:val="0"/>
        </w:rPr>
        <w:br w:type="textWrapping"/>
        <w:t xml:space="preserve">Ley 26190. </w:t>
      </w:r>
      <w:r w:rsidDel="00000000" w:rsidR="00000000" w:rsidRPr="00000000">
        <w:rPr>
          <w:rtl w:val="0"/>
        </w:rPr>
        <w:t xml:space="preserve">Régimen de Fomento Nacional para el uso de Fuentes Renovables de Energía destinada a la Producción de Energía Eléctrica. Modificación.</w:t>
        <w:br w:type="textWrapping"/>
      </w:r>
      <w:r w:rsidDel="00000000" w:rsidR="00000000" w:rsidRPr="00000000">
        <w:rPr>
          <w:b w:val="1"/>
          <w:bCs w:val="1"/>
          <w:rtl w:val="0"/>
        </w:rPr>
        <w:t xml:space="preserve">Sancionada: </w:t>
      </w:r>
      <w:r w:rsidDel="00000000" w:rsidR="00000000" w:rsidRPr="00000000">
        <w:rPr>
          <w:rtl w:val="0"/>
        </w:rPr>
        <w:t xml:space="preserve">Septiembre 23 de 2015</w:t>
      </w:r>
      <w:r w:rsidDel="00000000" w:rsidR="00000000" w:rsidRPr="00000000">
        <w:rPr>
          <w:b w:val="1"/>
          <w:bCs w:val="1"/>
          <w:rtl w:val="0"/>
        </w:rPr>
        <w:br w:type="textWrapping"/>
        <w:t xml:space="preserve">Promulgada de Hecho: </w:t>
      </w:r>
      <w:r w:rsidDel="00000000" w:rsidR="00000000" w:rsidRPr="00000000">
        <w:rPr>
          <w:rtl w:val="0"/>
        </w:rPr>
        <w:t xml:space="preserve">Octubre 15 de 2015</w:t>
        <w:br w:type="textWrapping"/>
      </w:r>
    </w:p>
    <w:p w:rsidR="00000000" w:rsidDel="00000000" w:rsidP="00000000" w:rsidRDefault="00000000" w:rsidRPr="00000000" w14:paraId="00000002">
      <w:pPr>
        <w:rPr/>
      </w:pPr>
      <w:r w:rsidDel="00000000" w:rsidR="00000000" w:rsidRPr="00000000">
        <w:rPr>
          <w:rtl w:val="0"/>
        </w:rPr>
        <w:t xml:space="preserve">El Senado y Cámara de Diputados de la Nación Argentina reunidos en Congreso, etc. sancionan con fuerza de</w:t>
        <w:br w:type="textWrapping"/>
        <w:br w:type="textWrapping"/>
        <w:t xml:space="preserve">Modificaciones a la Ley 26.190, “Régimen de Fomento Nacional para el Uso de Fuentes Renovables de Energía Destinada a la Producción de Energía Eléctrica”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 </w:t>
      </w:r>
      <w:r w:rsidDel="00000000" w:rsidR="00000000" w:rsidRPr="00000000">
        <w:rPr>
          <w:b w:val="1"/>
          <w:bCs w:val="1"/>
          <w:rtl w:val="0"/>
        </w:rPr>
        <w:t xml:space="preserve">Ley 27.191</w:t>
      </w:r>
      <w:r w:rsidDel="00000000" w:rsidR="00000000" w:rsidRPr="00000000">
        <w:rPr>
          <w:rtl w:val="0"/>
        </w:rPr>
        <w:t xml:space="preserve">, promulgada en el año </w:t>
      </w:r>
      <w:r w:rsidDel="00000000" w:rsidR="00000000" w:rsidRPr="00000000">
        <w:rPr>
          <w:b w:val="1"/>
          <w:bCs w:val="1"/>
          <w:rtl w:val="0"/>
        </w:rPr>
        <w:t xml:space="preserve">2015</w:t>
      </w:r>
      <w:r w:rsidDel="00000000" w:rsidR="00000000" w:rsidRPr="00000000">
        <w:rPr>
          <w:rtl w:val="0"/>
        </w:rPr>
        <w:t xml:space="preserve"> como enmienda de la Ley 26.190, marcó el hito normativo más importante para el desarrollo de las energías limpias en la </w:t>
      </w:r>
      <w:r w:rsidDel="00000000" w:rsidR="00000000" w:rsidRPr="00000000">
        <w:rPr>
          <w:b w:val="1"/>
          <w:bCs w:val="1"/>
          <w:rtl w:val="0"/>
        </w:rPr>
        <w:t xml:space="preserve">Argentina</w:t>
      </w:r>
      <w:r w:rsidDel="00000000" w:rsidR="00000000" w:rsidRPr="00000000">
        <w:rPr>
          <w:rtl w:val="0"/>
        </w:rPr>
        <w:t xml:space="preserve">. Este marco legal transformó la matriz energética nacional al establecer la obligación de que los grandes usuarios de energía eléctrica consuman una porción de su demanda de fuentes renovables, impulsando la creación de mercados competitivos y contratos a largo plazo.</w:t>
      </w:r>
    </w:p>
    <w:p w:rsidR="00000000" w:rsidDel="00000000" w:rsidP="00000000" w:rsidRDefault="00000000" w:rsidRPr="00000000" w14:paraId="00000005">
      <w:pPr>
        <w:rPr/>
      </w:pPr>
      <w:r w:rsidDel="00000000" w:rsidR="00000000" w:rsidRPr="00000000">
        <w:rPr>
          <w:rtl w:val="0"/>
        </w:rPr>
        <w:t xml:space="preserve">A continuación, se detallan los pilares de este cambio normativo, el funcionamiento del mercado corporativo y los mecanismos de contratación vigentes.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 Metas de Incorporación de Energías Renovables</w:t>
      </w:r>
    </w:p>
    <w:p w:rsidR="00000000" w:rsidDel="00000000" w:rsidP="00000000" w:rsidRDefault="00000000" w:rsidRPr="00000000" w14:paraId="00000008">
      <w:pPr>
        <w:rPr/>
      </w:pPr>
      <w:r w:rsidDel="00000000" w:rsidR="00000000" w:rsidRPr="00000000">
        <w:rPr>
          <w:rtl w:val="0"/>
        </w:rPr>
        <w:t xml:space="preserve">La legislación fijó una obligación de cumplimiento e incorporación progresiva de energía de fuentes renovables sobre el consumo total de electricidad del país.</w:t>
      </w:r>
    </w:p>
    <w:p w:rsidR="00000000" w:rsidDel="00000000" w:rsidP="00000000" w:rsidRDefault="00000000" w:rsidRPr="00000000" w14:paraId="00000009">
      <w:pPr>
        <w:rPr/>
      </w:pPr>
      <w:r w:rsidDel="00000000" w:rsidR="00000000" w:rsidRPr="00000000">
        <w:rPr>
          <w:rtl w:val="0"/>
        </w:rPr>
        <w:t xml:space="preserve">Las metas fijadas por la ley contemplaban el siguiente esquema:</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8%</w:t>
      </w:r>
      <w:r w:rsidDel="00000000" w:rsidR="00000000" w:rsidRPr="00000000">
        <w:rPr>
          <w:rtl w:val="0"/>
        </w:rPr>
        <w:t xml:space="preserve"> para el 31 de diciembre de </w:t>
      </w:r>
      <w:r w:rsidDel="00000000" w:rsidR="00000000" w:rsidRPr="00000000">
        <w:rPr>
          <w:b w:val="1"/>
          <w:bCs w:val="1"/>
          <w:rtl w:val="0"/>
        </w:rPr>
        <w:t xml:space="preserve">2017</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12%</w:t>
      </w:r>
      <w:r w:rsidDel="00000000" w:rsidR="00000000" w:rsidRPr="00000000">
        <w:rPr>
          <w:rtl w:val="0"/>
        </w:rPr>
        <w:t xml:space="preserve"> para el 31 de diciembre de </w:t>
      </w:r>
      <w:r w:rsidDel="00000000" w:rsidR="00000000" w:rsidRPr="00000000">
        <w:rPr>
          <w:b w:val="1"/>
          <w:bCs w:val="1"/>
          <w:rtl w:val="0"/>
        </w:rPr>
        <w:t xml:space="preserve">2019</w:t>
      </w:r>
      <w:r w:rsidDel="00000000" w:rsidR="00000000" w:rsidRPr="00000000">
        <w:rPr>
          <w:rtl w:val="0"/>
        </w:rPr>
        <w:t xml:space="preserve">.</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16%</w:t>
      </w:r>
      <w:r w:rsidDel="00000000" w:rsidR="00000000" w:rsidRPr="00000000">
        <w:rPr>
          <w:rtl w:val="0"/>
        </w:rPr>
        <w:t xml:space="preserve"> para el 31 de diciembre de </w:t>
      </w:r>
      <w:r w:rsidDel="00000000" w:rsidR="00000000" w:rsidRPr="00000000">
        <w:rPr>
          <w:b w:val="1"/>
          <w:bCs w:val="1"/>
          <w:rtl w:val="0"/>
        </w:rPr>
        <w:t xml:space="preserve">2021</w:t>
      </w:r>
      <w:r w:rsidDel="00000000" w:rsidR="00000000" w:rsidRPr="00000000">
        <w:rPr>
          <w:rtl w:val="0"/>
        </w:rPr>
        <w:t xml:space="preserve">.</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18%</w:t>
      </w:r>
      <w:r w:rsidDel="00000000" w:rsidR="00000000" w:rsidRPr="00000000">
        <w:rPr>
          <w:rtl w:val="0"/>
        </w:rPr>
        <w:t xml:space="preserve"> para el 31 de diciembre de </w:t>
      </w:r>
      <w:r w:rsidDel="00000000" w:rsidR="00000000" w:rsidRPr="00000000">
        <w:rPr>
          <w:b w:val="1"/>
          <w:bCs w:val="1"/>
          <w:rtl w:val="0"/>
        </w:rPr>
        <w:t xml:space="preserve">2023</w:t>
      </w:r>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20%</w:t>
      </w:r>
      <w:r w:rsidDel="00000000" w:rsidR="00000000" w:rsidRPr="00000000">
        <w:rPr>
          <w:rtl w:val="0"/>
        </w:rPr>
        <w:t xml:space="preserve"> como objetivo final establecido para el 31 de diciembre de </w:t>
      </w:r>
      <w:r w:rsidDel="00000000" w:rsidR="00000000" w:rsidRPr="00000000">
        <w:rPr>
          <w:b w:val="1"/>
          <w:bCs w:val="1"/>
          <w:rtl w:val="0"/>
        </w:rPr>
        <w:t xml:space="preserve">2025</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El sujeto obligado por esta normativa abarca a todos los usuarios de energía eléctrica de la República Argentina. Sin embargo, la ley distingue un universo particular: los </w:t>
      </w:r>
      <w:r w:rsidDel="00000000" w:rsidR="00000000" w:rsidRPr="00000000">
        <w:rPr>
          <w:b w:val="1"/>
          <w:bCs w:val="1"/>
          <w:rtl w:val="0"/>
        </w:rPr>
        <w:t xml:space="preserve">Grandes Usuarios Mayores (GUMAS)</w:t>
      </w:r>
      <w:r w:rsidDel="00000000" w:rsidR="00000000" w:rsidRPr="00000000">
        <w:rPr>
          <w:rtl w:val="0"/>
        </w:rPr>
        <w:t xml:space="preserve"> y </w:t>
      </w:r>
      <w:r w:rsidDel="00000000" w:rsidR="00000000" w:rsidRPr="00000000">
        <w:rPr>
          <w:b w:val="1"/>
          <w:bCs w:val="1"/>
          <w:rtl w:val="0"/>
        </w:rPr>
        <w:t xml:space="preserve">Grandes Usuarios Menores (GUME)</w:t>
      </w:r>
      <w:r w:rsidDel="00000000" w:rsidR="00000000" w:rsidRPr="00000000">
        <w:rPr>
          <w:rtl w:val="0"/>
        </w:rPr>
        <w:t xml:space="preserve"> del Mercado Eléctrico Mayorista (MEM) con demandas medias iguales o superiores a </w:t>
      </w:r>
      <w:r w:rsidDel="00000000" w:rsidR="00000000" w:rsidRPr="00000000">
        <w:rPr>
          <w:b w:val="1"/>
          <w:bCs w:val="1"/>
          <w:rtl w:val="0"/>
        </w:rPr>
        <w:t xml:space="preserve">300 kW</w:t>
      </w:r>
      <w:r w:rsidDel="00000000" w:rsidR="00000000" w:rsidRPr="00000000">
        <w:rPr>
          <w:rtl w:val="0"/>
        </w:rPr>
        <w:t xml:space="preserve">.</w:t>
      </w:r>
    </w:p>
    <w:p w:rsidR="00000000" w:rsidDel="00000000" w:rsidP="00000000" w:rsidRDefault="00000000" w:rsidRPr="00000000" w14:paraId="00000010">
      <w:pPr>
        <w:rPr>
          <w:b w:val="1"/>
          <w:bCs w:val="1"/>
        </w:rPr>
      </w:pPr>
      <w:r w:rsidDel="00000000" w:rsidR="00000000" w:rsidRPr="00000000">
        <w:rPr>
          <w:b w:val="1"/>
          <w:bCs w:val="1"/>
          <w:rtl w:val="0"/>
        </w:rPr>
        <w:t xml:space="preserve">2. El Mercado a Término de Energías Renovables (MATER)</w:t>
      </w:r>
    </w:p>
    <w:p w:rsidR="00000000" w:rsidDel="00000000" w:rsidP="00000000" w:rsidRDefault="00000000" w:rsidRPr="00000000" w14:paraId="00000011">
      <w:pPr>
        <w:rPr/>
      </w:pPr>
      <w:r w:rsidDel="00000000" w:rsidR="00000000" w:rsidRPr="00000000">
        <w:rPr>
          <w:rtl w:val="0"/>
        </w:rPr>
        <w:t xml:space="preserve">Para que los Grandes Usuarios cumplieran con las metas obligatorias sin depender exclusivamente de las compras centralizadas del Estado (como el programa RenovAr), el Gobierno nacional reglamentó el </w:t>
      </w:r>
      <w:r w:rsidDel="00000000" w:rsidR="00000000" w:rsidRPr="00000000">
        <w:rPr>
          <w:b w:val="1"/>
          <w:bCs w:val="1"/>
          <w:rtl w:val="0"/>
        </w:rPr>
        <w:t xml:space="preserve">MATER (Mercado a Término de Energías Renovables)</w:t>
      </w:r>
      <w:r w:rsidDel="00000000" w:rsidR="00000000" w:rsidRPr="00000000">
        <w:rPr>
          <w:rtl w:val="0"/>
        </w:rPr>
        <w:t xml:space="preserve"> mediante la </w:t>
      </w:r>
      <w:r w:rsidDel="00000000" w:rsidR="00000000" w:rsidRPr="00000000">
        <w:rPr>
          <w:b w:val="1"/>
          <w:bCs w:val="1"/>
          <w:rtl w:val="0"/>
        </w:rPr>
        <w:t xml:space="preserve">Resolución MEyM 281-E/2017</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El MATER funciona bajo las siguientes condiciones:</w:t>
      </w:r>
    </w:p>
    <w:p w:rsidR="00000000" w:rsidDel="00000000" w:rsidP="00000000" w:rsidRDefault="00000000" w:rsidRPr="00000000" w14:paraId="00000013">
      <w:pPr>
        <w:numPr>
          <w:ilvl w:val="0"/>
          <w:numId w:val="2"/>
        </w:numPr>
        <w:ind w:left="720" w:hanging="360"/>
        <w:rPr/>
      </w:pPr>
      <w:r w:rsidDel="00000000" w:rsidR="00000000" w:rsidRPr="00000000">
        <w:rPr>
          <w:b w:val="1"/>
          <w:bCs w:val="1"/>
          <w:rtl w:val="0"/>
        </w:rPr>
        <w:t xml:space="preserve">Libre negociación:</w:t>
      </w:r>
      <w:r w:rsidDel="00000000" w:rsidR="00000000" w:rsidRPr="00000000">
        <w:rPr>
          <w:rtl w:val="0"/>
        </w:rPr>
        <w:t xml:space="preserve"> Permite que los grandes consumidores y los generadores privados pacten libremente los precios, plazos y condiciones de suministro de energía limpia.</w:t>
      </w:r>
    </w:p>
    <w:p w:rsidR="00000000" w:rsidDel="00000000" w:rsidP="00000000" w:rsidRDefault="00000000" w:rsidRPr="00000000" w14:paraId="00000014">
      <w:pPr>
        <w:numPr>
          <w:ilvl w:val="0"/>
          <w:numId w:val="2"/>
        </w:numPr>
        <w:ind w:left="720" w:hanging="360"/>
        <w:rPr/>
      </w:pPr>
      <w:r w:rsidDel="00000000" w:rsidR="00000000" w:rsidRPr="00000000">
        <w:rPr>
          <w:b w:val="1"/>
          <w:bCs w:val="1"/>
          <w:rtl w:val="0"/>
        </w:rPr>
        <w:t xml:space="preserve">Autogeneración o cogeneración:</w:t>
      </w:r>
      <w:r w:rsidDel="00000000" w:rsidR="00000000" w:rsidRPr="00000000">
        <w:rPr>
          <w:rtl w:val="0"/>
        </w:rPr>
        <w:t xml:space="preserve"> Los usuarios también pueden optar por construir sus propias plantas de generación renovable.</w:t>
      </w:r>
    </w:p>
    <w:p w:rsidR="00000000" w:rsidDel="00000000" w:rsidP="00000000" w:rsidRDefault="00000000" w:rsidRPr="00000000" w14:paraId="00000015">
      <w:pPr>
        <w:numPr>
          <w:ilvl w:val="0"/>
          <w:numId w:val="2"/>
        </w:numPr>
        <w:ind w:left="720" w:hanging="360"/>
        <w:rPr/>
      </w:pPr>
      <w:r w:rsidDel="00000000" w:rsidR="00000000" w:rsidRPr="00000000">
        <w:rPr>
          <w:b w:val="1"/>
          <w:bCs w:val="1"/>
          <w:rtl w:val="0"/>
        </w:rPr>
        <w:t xml:space="preserve">Asignación de prioridad de despacho:</w:t>
      </w:r>
      <w:r w:rsidDel="00000000" w:rsidR="00000000" w:rsidRPr="00000000">
        <w:rPr>
          <w:rtl w:val="0"/>
        </w:rPr>
        <w:t xml:space="preserve"> Cammesa (Compañía Administradora del Mercado Mayorista Eléctrico) gestiona de forma periódica la asignación de capacidad de transporte en las redes de alta tensión para que los proyectos privados puedan inyectar su energía de forma segura.</w:t>
      </w:r>
    </w:p>
    <w:p w:rsidR="00000000" w:rsidDel="00000000" w:rsidP="00000000" w:rsidRDefault="00000000" w:rsidRPr="00000000" w14:paraId="00000016">
      <w:pPr>
        <w:numPr>
          <w:ilvl w:val="0"/>
          <w:numId w:val="2"/>
        </w:numPr>
        <w:ind w:left="720" w:hanging="360"/>
        <w:rPr/>
      </w:pPr>
      <w:r w:rsidDel="00000000" w:rsidR="00000000" w:rsidRPr="00000000">
        <w:rPr>
          <w:b w:val="1"/>
          <w:bCs w:val="1"/>
          <w:rtl w:val="0"/>
        </w:rPr>
        <w:t xml:space="preserve">Mecanismo de Salida Directa (</w:t>
      </w:r>
      <w:r w:rsidDel="00000000" w:rsidR="00000000" w:rsidRPr="00000000">
        <w:rPr>
          <w:b w:val="1"/>
          <w:bCs w:val="1"/>
          <w:i w:val="1"/>
          <w:iCs w:val="1"/>
          <w:rtl w:val="0"/>
        </w:rPr>
        <w:t xml:space="preserve">Opt-Out</w:t>
      </w:r>
      <w:r w:rsidDel="00000000" w:rsidR="00000000" w:rsidRPr="00000000">
        <w:rPr>
          <w:b w:val="1"/>
          <w:bCs w:val="1"/>
          <w:rtl w:val="0"/>
        </w:rPr>
        <w:t xml:space="preserve">):</w:t>
      </w:r>
      <w:r w:rsidDel="00000000" w:rsidR="00000000" w:rsidRPr="00000000">
        <w:rPr>
          <w:rtl w:val="0"/>
        </w:rPr>
        <w:t xml:space="preserve"> Los grandes usuarios que deciden contratar en el MATER deben declarar su salida de las compras centralizadas conjuntas administradas por el Estado.</w:t>
      </w:r>
    </w:p>
    <w:p w:rsidR="00000000" w:rsidDel="00000000" w:rsidP="00000000" w:rsidRDefault="00000000" w:rsidRPr="00000000" w14:paraId="00000017">
      <w:pPr>
        <w:rPr>
          <w:b w:val="1"/>
          <w:bCs w:val="1"/>
        </w:rPr>
      </w:pPr>
      <w:r w:rsidDel="00000000" w:rsidR="00000000" w:rsidRPr="00000000">
        <w:rPr>
          <w:b w:val="1"/>
          <w:bCs w:val="1"/>
          <w:rtl w:val="0"/>
        </w:rPr>
        <w:t xml:space="preserve">3. Contratos PPA (Power Purchase Agreements)</w:t>
      </w:r>
    </w:p>
    <w:p w:rsidR="00000000" w:rsidDel="00000000" w:rsidP="00000000" w:rsidRDefault="00000000" w:rsidRPr="00000000" w14:paraId="00000018">
      <w:pPr>
        <w:rPr/>
      </w:pPr>
      <w:r w:rsidDel="00000000" w:rsidR="00000000" w:rsidRPr="00000000">
        <w:rPr>
          <w:rtl w:val="0"/>
        </w:rPr>
        <w:t xml:space="preserve">Los </w:t>
      </w:r>
      <w:r w:rsidDel="00000000" w:rsidR="00000000" w:rsidRPr="00000000">
        <w:rPr>
          <w:b w:val="1"/>
          <w:bCs w:val="1"/>
          <w:rtl w:val="0"/>
        </w:rPr>
        <w:t xml:space="preserve">PPA</w:t>
      </w:r>
      <w:r w:rsidDel="00000000" w:rsidR="00000000" w:rsidRPr="00000000">
        <w:rPr>
          <w:rtl w:val="0"/>
        </w:rPr>
        <w:t xml:space="preserve"> son contratos privados de compraventa de energía a largo plazo celebrados entre un generador y un comprador (un gran usuario industrial o comercial). En el contexto del mercado argentino, se dividen principalmente en dos vertientes:</w:t>
      </w:r>
    </w:p>
    <w:p w:rsidR="00000000" w:rsidDel="00000000" w:rsidP="00000000" w:rsidRDefault="00000000" w:rsidRPr="00000000" w14:paraId="00000019">
      <w:pPr>
        <w:numPr>
          <w:ilvl w:val="0"/>
          <w:numId w:val="3"/>
        </w:numPr>
        <w:ind w:left="720" w:hanging="360"/>
        <w:rPr/>
      </w:pPr>
      <w:r w:rsidDel="00000000" w:rsidR="00000000" w:rsidRPr="00000000">
        <w:rPr>
          <w:b w:val="1"/>
          <w:bCs w:val="1"/>
          <w:rtl w:val="0"/>
        </w:rPr>
        <w:t xml:space="preserve">PPA Estatales (Centralizados):</w:t>
      </w:r>
      <w:r w:rsidDel="00000000" w:rsidR="00000000" w:rsidRPr="00000000">
        <w:rPr>
          <w:rtl w:val="0"/>
        </w:rPr>
        <w:t xml:space="preserve"> Contratos a </w:t>
      </w:r>
      <w:r w:rsidDel="00000000" w:rsidR="00000000" w:rsidRPr="00000000">
        <w:rPr>
          <w:b w:val="1"/>
          <w:bCs w:val="1"/>
          <w:rtl w:val="0"/>
        </w:rPr>
        <w:t xml:space="preserve">20 años</w:t>
      </w:r>
      <w:r w:rsidDel="00000000" w:rsidR="00000000" w:rsidRPr="00000000">
        <w:rPr>
          <w:rtl w:val="0"/>
        </w:rPr>
        <w:t xml:space="preserve"> adjudicados a través de las rondas del Programa RenovAr o la Res. 202/16. El comprador técnico es Cammesa en representación de todo el sistema. Cuentan con garantías internacionales (Banco Mundial) y prioridades de cobro estructuradas a través de fondos específicos como el </w:t>
      </w:r>
      <w:r w:rsidDel="00000000" w:rsidR="00000000" w:rsidRPr="00000000">
        <w:rPr>
          <w:b w:val="1"/>
          <w:bCs w:val="1"/>
          <w:rtl w:val="0"/>
        </w:rPr>
        <w:t xml:space="preserve">FODER</w:t>
      </w:r>
      <w:r w:rsidDel="00000000" w:rsidR="00000000" w:rsidRPr="00000000">
        <w:rPr>
          <w:rtl w:val="0"/>
        </w:rPr>
        <w:t xml:space="preserve"> (Fondo para el Desarrollo de Energías Renovables).</w:t>
      </w:r>
    </w:p>
    <w:p w:rsidR="00000000" w:rsidDel="00000000" w:rsidP="00000000" w:rsidRDefault="00000000" w:rsidRPr="00000000" w14:paraId="0000001A">
      <w:pPr>
        <w:numPr>
          <w:ilvl w:val="0"/>
          <w:numId w:val="3"/>
        </w:numPr>
        <w:ind w:left="720" w:hanging="360"/>
        <w:rPr/>
      </w:pPr>
      <w:r w:rsidDel="00000000" w:rsidR="00000000" w:rsidRPr="00000000">
        <w:rPr>
          <w:b w:val="1"/>
          <w:bCs w:val="1"/>
          <w:rtl w:val="0"/>
        </w:rPr>
        <w:t xml:space="preserve">PPA Privados (MATER):</w:t>
      </w:r>
      <w:r w:rsidDel="00000000" w:rsidR="00000000" w:rsidRPr="00000000">
        <w:rPr>
          <w:rtl w:val="0"/>
        </w:rPr>
        <w:t xml:space="preserve"> Acuerdos bilaterales corporativos donde los plazos suelen ser flexibles (generalmente entre </w:t>
      </w:r>
      <w:r w:rsidDel="00000000" w:rsidR="00000000" w:rsidRPr="00000000">
        <w:rPr>
          <w:b w:val="1"/>
          <w:bCs w:val="1"/>
          <w:rtl w:val="0"/>
        </w:rPr>
        <w:t xml:space="preserve">5 y 15 años</w:t>
      </w:r>
      <w:r w:rsidDel="00000000" w:rsidR="00000000" w:rsidRPr="00000000">
        <w:rPr>
          <w:rtl w:val="0"/>
        </w:rPr>
        <w:t xml:space="preserve">), denominados y facturados habitualmente en dólares estadounidenses para mitigar el riesgo cambiario, adaptándose a las necesidades de sustentabilidad y costos de cada empresa.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Ministerio de Justicia de la Nación</w:t>
      </w:r>
    </w:p>
    <w:p w:rsidR="00000000" w:rsidDel="00000000" w:rsidP="00000000" w:rsidRDefault="00000000" w:rsidRPr="00000000" w14:paraId="0000001E">
      <w:pPr>
        <w:rPr/>
      </w:pPr>
      <w:hyperlink r:id="rId7">
        <w:r w:rsidDel="00000000" w:rsidR="00000000" w:rsidRPr="00000000">
          <w:rPr>
            <w:color w:val="0563c1"/>
            <w:u w:val="single"/>
            <w:rtl w:val="0"/>
          </w:rPr>
          <w:t xml:space="preserve">https://servicios.infoleg.gob.ar/infolegInternet/anexos/250000-254999/253626/norma.htm</w:t>
        </w:r>
      </w:hyperlink>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Presidencia de la Nación – Boletín Oficial de la Republica Argentina</w:t>
      </w:r>
    </w:p>
    <w:p w:rsidR="00000000" w:rsidDel="00000000" w:rsidP="00000000" w:rsidRDefault="00000000" w:rsidRPr="00000000" w14:paraId="00000020">
      <w:pPr>
        <w:rPr/>
      </w:pPr>
      <w:hyperlink r:id="rId8">
        <w:r w:rsidDel="00000000" w:rsidR="00000000" w:rsidRPr="00000000">
          <w:rPr>
            <w:color w:val="0563c1"/>
            <w:u w:val="single"/>
            <w:rtl w:val="0"/>
          </w:rPr>
          <w:t xml:space="preserve">https://www.boletinoficial.gob.ar/detalleAviso/primera/347964/20260925</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6732F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732F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732F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732F9"/>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6732F9"/>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6732F9"/>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6732F9"/>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6732F9"/>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6732F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732F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732F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732F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6732F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6732F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732F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732F9"/>
    <w:rPr>
      <w:i w:val="1"/>
      <w:iCs w:val="1"/>
      <w:color w:val="404040" w:themeColor="text1" w:themeTint="0000BF"/>
    </w:rPr>
  </w:style>
  <w:style w:type="paragraph" w:styleId="Prrafodelista">
    <w:name w:val="List Paragraph"/>
    <w:basedOn w:val="Normal"/>
    <w:uiPriority w:val="34"/>
    <w:qFormat w:val="1"/>
    <w:rsid w:val="006732F9"/>
    <w:pPr>
      <w:ind w:left="720"/>
      <w:contextualSpacing w:val="1"/>
    </w:pPr>
  </w:style>
  <w:style w:type="character" w:styleId="nfasisintenso">
    <w:name w:val="Intense Emphasis"/>
    <w:basedOn w:val="Fuentedeprrafopredeter"/>
    <w:uiPriority w:val="21"/>
    <w:qFormat w:val="1"/>
    <w:rsid w:val="006732F9"/>
    <w:rPr>
      <w:i w:val="1"/>
      <w:iCs w:val="1"/>
      <w:color w:val="2f5496" w:themeColor="accent1" w:themeShade="0000BF"/>
    </w:rPr>
  </w:style>
  <w:style w:type="paragraph" w:styleId="Citadestacada">
    <w:name w:val="Intense Quote"/>
    <w:basedOn w:val="Normal"/>
    <w:next w:val="Normal"/>
    <w:link w:val="CitadestacadaCar"/>
    <w:uiPriority w:val="30"/>
    <w:qFormat w:val="1"/>
    <w:rsid w:val="006732F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6732F9"/>
    <w:rPr>
      <w:i w:val="1"/>
      <w:iCs w:val="1"/>
      <w:color w:val="2f5496" w:themeColor="accent1" w:themeShade="0000BF"/>
    </w:rPr>
  </w:style>
  <w:style w:type="character" w:styleId="Referenciaintensa">
    <w:name w:val="Intense Reference"/>
    <w:basedOn w:val="Fuentedeprrafopredeter"/>
    <w:uiPriority w:val="32"/>
    <w:qFormat w:val="1"/>
    <w:rsid w:val="006732F9"/>
    <w:rPr>
      <w:b w:val="1"/>
      <w:bCs w:val="1"/>
      <w:smallCaps w:val="1"/>
      <w:color w:val="2f5496" w:themeColor="accent1" w:themeShade="0000BF"/>
      <w:spacing w:val="5"/>
    </w:rPr>
  </w:style>
  <w:style w:type="character" w:styleId="Hipervnculo">
    <w:name w:val="Hyperlink"/>
    <w:basedOn w:val="Fuentedeprrafopredeter"/>
    <w:uiPriority w:val="99"/>
    <w:unhideWhenUsed w:val="1"/>
    <w:rsid w:val="006732F9"/>
    <w:rPr>
      <w:color w:val="0563c1" w:themeColor="hyperlink"/>
      <w:u w:val="single"/>
    </w:rPr>
  </w:style>
  <w:style w:type="character" w:styleId="Mencinsinresolver">
    <w:name w:val="Unresolved Mention"/>
    <w:basedOn w:val="Fuentedeprrafopredeter"/>
    <w:uiPriority w:val="99"/>
    <w:semiHidden w:val="1"/>
    <w:unhideWhenUsed w:val="1"/>
    <w:rsid w:val="006732F9"/>
    <w:rPr>
      <w:color w:val="605e5c"/>
      <w:shd w:color="auto" w:fill="e1dfdd" w:val="clear"/>
    </w:rPr>
  </w:style>
  <w:style w:type="character" w:styleId="Hipervnculovisitado">
    <w:name w:val="FollowedHyperlink"/>
    <w:basedOn w:val="Fuentedeprrafopredeter"/>
    <w:uiPriority w:val="99"/>
    <w:semiHidden w:val="1"/>
    <w:unhideWhenUsed w:val="1"/>
    <w:rsid w:val="00464945"/>
    <w:rPr>
      <w:color w:val="954f72"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ervicios.infoleg.gob.ar/infolegInternet/anexos/250000-254999/253626/norma.htm" TargetMode="External"/><Relationship Id="rId8" Type="http://schemas.openxmlformats.org/officeDocument/2006/relationships/hyperlink" Target="https://www.boletinoficial.gob.ar/detalleAviso/primera/347964/202609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kSTGUhOn45881n8xzLCU9bgng==">CgMxLjA4AHIhMVBMdUxhVUt6SE1KZXFIdFRrQ0NjdGR4RmEtLWVIeTJK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2026-10-03T01:46:00Z</dcterms:created>
  <dc:creator>lucascuello35@gmail.com</dc:creator>
</cp:coreProperties>
</file>