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Liflow: registro personal mediante extracción estructurada con modelos de lenguaje</w:t>
      </w:r>
    </w:p>
    <w:p>
      <w:r>
        <w:rPr>
          <w:b/>
        </w:rPr>
        <w:t>Trabajo Fin de Grado — Borrador inicial</w:t>
      </w:r>
    </w:p>
    <w:p>
      <w:pPr>
        <w:jc w:val="center"/>
      </w:pPr>
      <w:r>
        <w:rPr>
          <w:b/>
        </w:rPr>
        <w:t>Autor/a:</w:t>
      </w:r>
      <w:r>
        <w:t xml:space="preserve"> [Nombre y apellidos]</w:t>
      </w:r>
    </w:p>
    <w:p>
      <w:pPr>
        <w:jc w:val="center"/>
      </w:pPr>
      <w:r>
        <w:rPr>
          <w:b/>
        </w:rPr>
        <w:t>Titulación:</w:t>
      </w:r>
      <w:r>
        <w:t xml:space="preserve"> [Titulación]</w:t>
      </w:r>
    </w:p>
    <w:p>
      <w:pPr>
        <w:jc w:val="center"/>
      </w:pPr>
      <w:r>
        <w:rPr>
          <w:b/>
        </w:rPr>
        <w:t>Tutor/a:</w:t>
      </w:r>
      <w:r>
        <w:t xml:space="preserve"> [Nombre del tutor/a]</w:t>
      </w:r>
    </w:p>
    <w:p>
      <w:pPr>
        <w:jc w:val="center"/>
      </w:pPr>
      <w:r>
        <w:rPr>
          <w:b/>
        </w:rPr>
        <w:t>Curso académico:</w:t>
      </w:r>
      <w:r>
        <w:t xml:space="preserve"> [Curso]</w:t>
      </w:r>
    </w:p>
    <w:p>
      <w:pPr>
        <w:ind w:left="340" w:right="340"/>
      </w:pPr>
      <w:r>
        <w:rPr>
          <w:i/>
        </w:rPr>
        <w:t>Este documento establece el planteamiento, alcance y diseño inicial del proyecto. No presenta resultados experimentales: estos se incorporarán una vez implementados y evaluados los hitos previstos.</w:t>
      </w:r>
    </w:p>
    <w:p>
      <w:r>
        <w:br w:type="page"/>
      </w:r>
    </w:p>
    <w:p>
      <w:pPr>
        <w:pStyle w:val="Heading1"/>
      </w:pPr>
      <w:r>
        <w:t>Resumen</w:t>
      </w:r>
    </w:p>
    <w:p>
      <w:r>
        <w:t>Liflow es una aplicación de seguimiento personal asistida por inteligencia artificial. Su propósito es permitir que una persona registre actividades y hábitos cotidianos mediante lenguaje natural —por ejemplo, «Hoy he estudiado 3 horas, he corrido 5 km y he dormido 7 horas»— y convertir esa información en registros estructurados que puedan validarse, almacenarse y analizarse posteriormente.</w:t>
      </w:r>
    </w:p>
    <w:p>
      <w:r>
        <w:t>El núcleo del proyecto no consiste únicamente en integrar un modelo de lenguaje de gran tamaño (LLM), sino en diseñar un proceso fiable alrededor de él: extracción con una salida estructurada, validación determinista, gestión de errores, trazabilidad y evaluación cuantitativa. El sistema se desarrollará de forma incremental. El primer hito se limitará a convertir texto en un resultado JSON validado y listo para persistirse; la base de datos, la interfaz web, el panel de estadísticas y las prácticas avanzadas de MLOps se incorporarán en fases posteriores.</w:t>
      </w:r>
    </w:p>
    <w:p>
      <w:r>
        <w:rPr>
          <w:b/>
        </w:rPr>
        <w:t>Palabras clave:</w:t>
      </w:r>
      <w:r>
        <w:t xml:space="preserve"> modelos de lenguaje, extracción de información, FastAPI, Pydantic, evaluación de LLM, MLOps, privacidad.</w:t>
      </w:r>
    </w:p>
    <w:p>
      <w:pPr>
        <w:pStyle w:val="Heading1"/>
      </w:pPr>
      <w:r>
        <w:t>1. Introducción y motivación</w:t>
      </w:r>
    </w:p>
    <w:p>
      <w:r>
        <w:t>El seguimiento de hábitos personales puede ser útil para observar patrones de actividad, descanso, ejercicio o estudio. Sin embargo, muchas aplicaciones obligan a introducir cada dato mediante formularios específicos. Esta interacción resulta poco natural y puede disminuir la adherencia de los usuarios.</w:t>
      </w:r>
    </w:p>
    <w:p>
      <w:r>
        <w:t>Los modelos de lenguaje permiten interpretar texto cotidiano y extraer información de él. No obstante, su salida no debe considerarse automáticamente correcta: puede ser incompleta, ambigua o contener valores incompatibles con el dominio de la aplicación. Por esta razón, Liflow se plantea como un sistema de ingeniería de datos asistido por IA, donde el LLM interpreta el lenguaje y una capa determinista valida el resultado antes de que pueda utilizarse.</w:t>
      </w:r>
    </w:p>
    <w:p>
      <w:r>
        <w:t>El proyecto permite abordar competencias de desarrollo backend, integración de servicios de IA, calidad de software, evaluación experimental y MLOps. También incorpora la privacidad desde las primeras decisiones de diseño, debido a la naturaleza potencialmente sensible de los datos personales tratados.</w:t>
      </w:r>
    </w:p>
    <w:p>
      <w:pPr>
        <w:pStyle w:val="Heading1"/>
      </w:pPr>
      <w:r>
        <w:t>2. Problema</w:t>
      </w:r>
    </w:p>
    <w:p>
      <w:r>
        <w:t>Se desea transformar texto libre introducido por un usuario en registros consistentes y utilizables por una aplicación de seguimiento personal. La transformación debe resolver, entre otras, las siguientes dificultades:</w:t>
      </w:r>
    </w:p>
    <w:p>
      <w:pPr>
        <w:pStyle w:val="ListBullet"/>
      </w:pPr>
      <w:r>
        <w:t>identificar actividades y hábitos mencionados en una misma frase;</w:t>
      </w:r>
    </w:p>
    <w:p>
      <w:pPr>
        <w:pStyle w:val="ListBullet"/>
      </w:pPr>
      <w:r>
        <w:t>extraer cantidades y unidades, como horas o kilómetros;</w:t>
      </w:r>
    </w:p>
    <w:p>
      <w:pPr>
        <w:pStyle w:val="ListBullet"/>
      </w:pPr>
      <w:r>
        <w:t>interpretar referencias temporales relativas, como «hoy»;</w:t>
      </w:r>
    </w:p>
    <w:p>
      <w:pPr>
        <w:pStyle w:val="ListBullet"/>
      </w:pPr>
      <w:r>
        <w:t>distinguir información suficiente de información ambigua o incompleta;</w:t>
      </w:r>
    </w:p>
    <w:p>
      <w:pPr>
        <w:pStyle w:val="ListBullet"/>
      </w:pPr>
      <w:r>
        <w:t>evitar que resultados no válidos se almacenen como datos fiables;</w:t>
      </w:r>
    </w:p>
    <w:p>
      <w:pPr>
        <w:pStyle w:val="ListBullet"/>
      </w:pPr>
      <w:r>
        <w:t>medir de forma reproducible la calidad, latencia y coste del sistema.</w:t>
      </w:r>
    </w:p>
    <w:p>
      <w:pPr>
        <w:pStyle w:val="Heading1"/>
      </w:pPr>
      <w:r>
        <w:t>3. Objetivos</w:t>
      </w:r>
    </w:p>
    <w:p>
      <w:pPr>
        <w:pStyle w:val="Heading2"/>
      </w:pPr>
      <w:r>
        <w:t>3.1 Objetivo general</w:t>
      </w:r>
    </w:p>
    <w:p>
      <w:r>
        <w:t>Diseñar e implementar una aplicación que transforme registros personales expresados en lenguaje natural en datos estructurados, validados y preparados para su persistencia, utilizando un LLM como componente de extracción.</w:t>
      </w:r>
    </w:p>
    <w:p>
      <w:pPr>
        <w:pStyle w:val="Heading2"/>
      </w:pPr>
      <w:r>
        <w:t>3.2 Objetivos específicos</w:t>
      </w:r>
    </w:p>
    <w:p>
      <w:pPr>
        <w:ind w:left="397" w:hanging="255"/>
      </w:pPr>
      <w:r>
        <w:t>1. Definir un modelo inicial de eventos personales, con categorías, cantidades, unidades y fechas.</w:t>
      </w:r>
    </w:p>
    <w:p>
      <w:pPr>
        <w:ind w:left="397" w:hanging="255"/>
      </w:pPr>
      <w:r>
        <w:t>2. Desarrollar una API en Python que reciba texto y devuelva el resultado de su extracción.</w:t>
      </w:r>
    </w:p>
    <w:p>
      <w:pPr>
        <w:ind w:left="397" w:hanging="255"/>
      </w:pPr>
      <w:r>
        <w:t>3. Integrar un LLM mediante API para obtener una salida estructurada.</w:t>
      </w:r>
    </w:p>
    <w:p>
      <w:pPr>
        <w:ind w:left="397" w:hanging="255"/>
      </w:pPr>
      <w:r>
        <w:t>4. Validar localmente dicha salida con Pydantic, evitando la persistencia de datos inválidos.</w:t>
      </w:r>
    </w:p>
    <w:p>
      <w:pPr>
        <w:ind w:left="397" w:hanging="255"/>
      </w:pPr>
      <w:r>
        <w:t>5. Diseñar un conjunto de pruebas anotado y métricas para evaluar precisión, validez, latencia y coste.</w:t>
      </w:r>
    </w:p>
    <w:p>
      <w:pPr>
        <w:ind w:left="397" w:hanging="255"/>
      </w:pPr>
      <w:r>
        <w:t>6. Incorporar progresivamente base de datos, interfaz de usuario, contenedores y prácticas MLOps.</w:t>
      </w:r>
    </w:p>
    <w:p>
      <w:pPr>
        <w:ind w:left="397" w:hanging="255"/>
      </w:pPr>
      <w:r>
        <w:t>7. Aplicar principios de privacidad, seguridad y minimización de datos desde el diseño.</w:t>
      </w:r>
    </w:p>
    <w:p>
      <w:pPr>
        <w:pStyle w:val="Heading1"/>
      </w:pPr>
      <w:r>
        <w:t>4. Pregunta de investigación</w:t>
      </w:r>
    </w:p>
    <w:p>
      <w:r>
        <w:t>La pregunta que guía el trabajo es:</w:t>
      </w:r>
    </w:p>
    <w:p>
      <w:pPr>
        <w:ind w:left="340" w:right="340"/>
      </w:pPr>
      <w:r>
        <w:rPr>
          <w:i/>
        </w:rPr>
        <w:t>¿En qué medida un LLM, combinado con salida estructurada y validación determinista, puede extraer de forma fiable registros personales desde texto libre en español?</w:t>
      </w:r>
    </w:p>
    <w:p>
      <w:r>
        <w:t>Como cuestiones complementarias se estudiarán el efecto del diseño de instrucciones y del modelo seleccionado sobre la exactitud, la tasa de resultados válidos, la latencia y el coste de operación.</w:t>
      </w:r>
    </w:p>
    <w:p>
      <w:pPr>
        <w:pStyle w:val="Heading1"/>
      </w:pPr>
      <w:r>
        <w:t>5. Alcance y delimitación</w:t>
      </w:r>
    </w:p>
    <w:p>
      <w:r>
        <w:t xml:space="preserve">La primera versión se centrará exclusivamente en texto en español y en un conjunto reducido de categorías. Como punto de partida se considerarán </w:t>
      </w:r>
      <w:r>
        <w:rPr>
          <w:rFonts w:ascii="Courier New" w:hAnsi="Courier New"/>
        </w:rPr>
        <w:t>study</w:t>
      </w:r>
      <w:r>
        <w:t xml:space="preserve">, </w:t>
      </w:r>
      <w:r>
        <w:rPr>
          <w:rFonts w:ascii="Courier New" w:hAnsi="Courier New"/>
        </w:rPr>
        <w:t>running</w:t>
      </w:r>
      <w:r>
        <w:t xml:space="preserve"> y </w:t>
      </w:r>
      <w:r>
        <w:rPr>
          <w:rFonts w:ascii="Courier New" w:hAnsi="Courier New"/>
        </w:rPr>
        <w:t>sleep</w:t>
      </w:r>
      <w:r>
        <w:t>, aunque el catálogo podrá ampliarse si las pruebas justifican hacerlo.</w:t>
      </w:r>
    </w:p>
    <w:p>
      <w:r>
        <w:t>El primer hito incluye el flujo texto → LLM → JSON → validación Pydantic → respuesta de API. En esta etapa no se almacenarán datos de usuarios ni se desarrollará una interfaz gráfica.</w:t>
      </w:r>
    </w:p>
    <w:p>
      <w:r>
        <w:t>Quedan fuera del alcance inicial:</w:t>
      </w:r>
    </w:p>
    <w:p>
      <w:pPr>
        <w:pStyle w:val="ListBullet"/>
      </w:pPr>
      <w:r>
        <w:t>reconocimiento de voz;</w:t>
      </w:r>
    </w:p>
    <w:p>
      <w:pPr>
        <w:pStyle w:val="ListBullet"/>
      </w:pPr>
      <w:r>
        <w:t>diagnóstico, consejo médico o recomendaciones de salud;</w:t>
      </w:r>
    </w:p>
    <w:p>
      <w:pPr>
        <w:pStyle w:val="ListBullet"/>
      </w:pPr>
      <w:r>
        <w:t>entrenamiento o ajuste fino de modelos propios;</w:t>
      </w:r>
    </w:p>
    <w:p>
      <w:pPr>
        <w:pStyle w:val="ListBullet"/>
      </w:pPr>
      <w:r>
        <w:t>despliegue público con usuarios reales;</w:t>
      </w:r>
    </w:p>
    <w:p>
      <w:pPr>
        <w:pStyle w:val="ListBullet"/>
      </w:pPr>
      <w:r>
        <w:t>automatización compleja o agentes con capacidad de actuar sobre servicios externos.</w:t>
      </w:r>
    </w:p>
    <w:p>
      <w:r>
        <w:t>Estas exclusiones reducen la complejidad y permiten evaluar con rigor el componente central del TFG antes de ampliar el producto.</w:t>
      </w:r>
    </w:p>
    <w:p>
      <w:pPr>
        <w:pStyle w:val="Heading1"/>
      </w:pPr>
      <w:r>
        <w:t>6. Propuesta de arquitectura</w:t>
      </w:r>
    </w:p>
    <w:p>
      <w:r>
        <w:t>La arquitectura objetivo seguirá el flujo siguiente:</w:t>
      </w:r>
    </w:p>
    <w:p>
      <w:pPr>
        <w:pStyle w:val="CodeBlock"/>
      </w:pPr>
      <w:r>
        <w:t>Usuario → Frontend → Backend/API → LLM → JSON candidato</w:t>
        <w:br/>
        <w:t xml:space="preserve">                                           ↓</w:t>
        <w:br/>
        <w:t xml:space="preserve">                                    Validación Pydantic</w:t>
        <w:br/>
        <w:t xml:space="preserve">                                           ↓</w:t>
        <w:br/>
        <w:t xml:space="preserve">                              Datos listos para persistir</w:t>
        <w:br/>
        <w:t xml:space="preserve">                                           ↓</w:t>
        <w:br/>
        <w:t xml:space="preserve">                               Base de datos → Dashboard</w:t>
      </w:r>
    </w:p>
    <w:p>
      <w:r>
        <w:t>En el primer hito solo se implementarán los elementos comprendidos entre el backend/API y la validación. El frontend y la base de datos se dejarán como interfaces futuras, pero las decisiones actuales evitarán que su incorporación exija rehacer el núcleo.</w:t>
      </w:r>
    </w:p>
    <w:p>
      <w:r>
        <w:t>El backend se implementará con FastAPI. La respuesta del LLM se solicitará con un formato estructurado restringido por un esquema JSON. Pydantic verificará después, en el propio backend, que cada evento cumpla las restricciones de dominio. Esta doble barrera es importante: el formato estructurado reduce respuestas mal formadas, mientras que Pydantic aplica reglas de negocio que no deben delegarse al modelo.</w:t>
      </w:r>
    </w:p>
    <w:p>
      <w:r>
        <w:t>Un resultado conceptual podría contener:</w:t>
      </w:r>
    </w:p>
    <w:p>
      <w:pPr>
        <w:pStyle w:val="CodeBlock"/>
      </w:pPr>
      <w:r>
        <w:t>{</w:t>
        <w:br/>
        <w:t xml:space="preserve">  "entries": [</w:t>
        <w:br/>
        <w:t xml:space="preserve">    {"category": "study", "value": 3, "unit": "hours", "date": "2026-09-11"},</w:t>
        <w:br/>
        <w:t xml:space="preserve">    {"category": "running", "value": 5, "unit": "km", "date": "2026-09-11"},</w:t>
        <w:br/>
        <w:t xml:space="preserve">    {"category": "sleep", "value": 7, "unit": "hours", "date": "2026-09-11"}</w:t>
        <w:br/>
        <w:t xml:space="preserve">  ],</w:t>
        <w:br/>
        <w:t xml:space="preserve">  "unparsed_text": [],</w:t>
        <w:br/>
        <w:t xml:space="preserve">  "warnings": []</w:t>
        <w:br/>
        <w:t>}</w:t>
      </w:r>
    </w:p>
    <w:p>
      <w:r>
        <w:t>La fecha de referencia y la zona horaria serán datos explícitos de la solicitud; de este modo, expresiones como «hoy» no dependerán de la configuración del servidor.</w:t>
      </w:r>
    </w:p>
    <w:p>
      <w:pPr>
        <w:pStyle w:val="Heading1"/>
      </w:pPr>
      <w:r>
        <w:t>7. Tecnologías previstas</w:t>
      </w:r>
    </w:p>
    <w:p>
      <w:r>
        <w:br w:type="page"/>
      </w:r>
    </w:p>
    <w:tbl>
      <w:tblPr>
        <w:tblStyle w:val="TableGrid"/>
        <w:tblW w:type="auto" w:w="0"/>
        <w:jc w:val="center"/>
        <w:tblLook w:firstColumn="1" w:firstRow="1" w:lastColumn="0" w:lastRow="0" w:noHBand="0" w:noVBand="1" w:val="04A0"/>
      </w:tblPr>
      <w:tblGrid>
        <w:gridCol w:w="3097"/>
        <w:gridCol w:w="3097"/>
        <w:gridCol w:w="3097"/>
      </w:tblGrid>
      <w:tr>
        <w:trPr>
          <w:tblHeader w:val="true"/>
        </w:trPr>
        <w:tc>
          <w:tcPr>
            <w:tcW w:type="dxa" w:w="3097"/>
            <w:vAlign w:val="center"/>
            <w:tcMar>
              <w:top w:w="100" w:type="dxa"/>
              <w:start w:w="120" w:type="dxa"/>
              <w:bottom w:w="100" w:type="dxa"/>
              <w:end w:w="120" w:type="dxa"/>
            </w:tcMar>
            <w:shd w:fill="1F4E78"/>
          </w:tcPr>
          <w:p>
            <w:pPr>
              <w:spacing w:after="0"/>
            </w:pPr>
            <w:r>
              <w:rPr>
                <w:b/>
                <w:color w:val="FFFFFF"/>
              </w:rPr>
              <w:t>Componente</w:t>
            </w:r>
          </w:p>
        </w:tc>
        <w:tc>
          <w:tcPr>
            <w:tcW w:type="dxa" w:w="3097"/>
            <w:vAlign w:val="center"/>
            <w:tcMar>
              <w:top w:w="100" w:type="dxa"/>
              <w:start w:w="120" w:type="dxa"/>
              <w:bottom w:w="100" w:type="dxa"/>
              <w:end w:w="120" w:type="dxa"/>
            </w:tcMar>
            <w:shd w:fill="1F4E78"/>
          </w:tcPr>
          <w:p>
            <w:pPr>
              <w:spacing w:after="0"/>
            </w:pPr>
            <w:r>
              <w:rPr>
                <w:b/>
                <w:color w:val="FFFFFF"/>
              </w:rPr>
              <w:t>Tecnología</w:t>
            </w:r>
          </w:p>
        </w:tc>
        <w:tc>
          <w:tcPr>
            <w:tcW w:type="dxa" w:w="3097"/>
            <w:vAlign w:val="center"/>
            <w:tcMar>
              <w:top w:w="100" w:type="dxa"/>
              <w:start w:w="120" w:type="dxa"/>
              <w:bottom w:w="100" w:type="dxa"/>
              <w:end w:w="120" w:type="dxa"/>
            </w:tcMar>
            <w:shd w:fill="1F4E78"/>
          </w:tcPr>
          <w:p>
            <w:pPr>
              <w:spacing w:after="0"/>
            </w:pPr>
            <w:r>
              <w:rPr>
                <w:b/>
                <w:color w:val="FFFFFF"/>
              </w:rPr>
              <w:t>Justificación inicial</w:t>
            </w:r>
          </w:p>
        </w:tc>
      </w:tr>
      <w:tr>
        <w:tc>
          <w:tcPr>
            <w:tcW w:type="dxa" w:w="3097"/>
            <w:vAlign w:val="center"/>
            <w:tcMar>
              <w:top w:w="100" w:type="dxa"/>
              <w:start w:w="120" w:type="dxa"/>
              <w:bottom w:w="100" w:type="dxa"/>
              <w:end w:w="120" w:type="dxa"/>
            </w:tcMar>
          </w:tcPr>
          <w:p>
            <w:pPr>
              <w:spacing w:after="0"/>
            </w:pPr>
            <w:r>
              <w:t>Lenguaje backend</w:t>
            </w:r>
          </w:p>
        </w:tc>
        <w:tc>
          <w:tcPr>
            <w:tcW w:type="dxa" w:w="3097"/>
            <w:vAlign w:val="center"/>
            <w:tcMar>
              <w:top w:w="100" w:type="dxa"/>
              <w:start w:w="120" w:type="dxa"/>
              <w:bottom w:w="100" w:type="dxa"/>
              <w:end w:w="120" w:type="dxa"/>
            </w:tcMar>
          </w:tcPr>
          <w:p>
            <w:pPr>
              <w:spacing w:after="0"/>
            </w:pPr>
            <w:r>
              <w:t>Python</w:t>
            </w:r>
          </w:p>
        </w:tc>
        <w:tc>
          <w:tcPr>
            <w:tcW w:type="dxa" w:w="3097"/>
            <w:vAlign w:val="center"/>
            <w:tcMar>
              <w:top w:w="100" w:type="dxa"/>
              <w:start w:w="120" w:type="dxa"/>
              <w:bottom w:w="100" w:type="dxa"/>
              <w:end w:w="120" w:type="dxa"/>
            </w:tcMar>
          </w:tcPr>
          <w:p>
            <w:pPr>
              <w:spacing w:after="0"/>
            </w:pPr>
            <w:r>
              <w:t>Ecosistema sólido para APIs, validación y servicios de IA.</w:t>
            </w:r>
          </w:p>
        </w:tc>
      </w:tr>
      <w:tr>
        <w:tc>
          <w:tcPr>
            <w:tcW w:type="dxa" w:w="3097"/>
            <w:vAlign w:val="center"/>
            <w:tcMar>
              <w:top w:w="100" w:type="dxa"/>
              <w:start w:w="120" w:type="dxa"/>
              <w:bottom w:w="100" w:type="dxa"/>
              <w:end w:w="120" w:type="dxa"/>
            </w:tcMar>
            <w:shd w:fill="EAF2F8"/>
          </w:tcPr>
          <w:p>
            <w:pPr>
              <w:spacing w:after="0"/>
            </w:pPr>
            <w:r>
              <w:t>API</w:t>
            </w:r>
          </w:p>
        </w:tc>
        <w:tc>
          <w:tcPr>
            <w:tcW w:type="dxa" w:w="3097"/>
            <w:vAlign w:val="center"/>
            <w:tcMar>
              <w:top w:w="100" w:type="dxa"/>
              <w:start w:w="120" w:type="dxa"/>
              <w:bottom w:w="100" w:type="dxa"/>
              <w:end w:w="120" w:type="dxa"/>
            </w:tcMar>
            <w:shd w:fill="EAF2F8"/>
          </w:tcPr>
          <w:p>
            <w:pPr>
              <w:spacing w:after="0"/>
            </w:pPr>
            <w:r>
              <w:t>FastAPI</w:t>
            </w:r>
          </w:p>
        </w:tc>
        <w:tc>
          <w:tcPr>
            <w:tcW w:type="dxa" w:w="3097"/>
            <w:vAlign w:val="center"/>
            <w:tcMar>
              <w:top w:w="100" w:type="dxa"/>
              <w:start w:w="120" w:type="dxa"/>
              <w:bottom w:w="100" w:type="dxa"/>
              <w:end w:w="120" w:type="dxa"/>
            </w:tcMar>
            <w:shd w:fill="EAF2F8"/>
          </w:tcPr>
          <w:p>
            <w:pPr>
              <w:spacing w:after="0"/>
            </w:pPr>
            <w:r>
              <w:t>Tipado, documentación automática y buen encaje con Python asíncrono.</w:t>
            </w:r>
          </w:p>
        </w:tc>
      </w:tr>
      <w:tr>
        <w:tc>
          <w:tcPr>
            <w:tcW w:type="dxa" w:w="3097"/>
            <w:vAlign w:val="center"/>
            <w:tcMar>
              <w:top w:w="100" w:type="dxa"/>
              <w:start w:w="120" w:type="dxa"/>
              <w:bottom w:w="100" w:type="dxa"/>
              <w:end w:w="120" w:type="dxa"/>
            </w:tcMar>
          </w:tcPr>
          <w:p>
            <w:pPr>
              <w:spacing w:after="0"/>
            </w:pPr>
            <w:r>
              <w:t>Validación</w:t>
            </w:r>
          </w:p>
        </w:tc>
        <w:tc>
          <w:tcPr>
            <w:tcW w:type="dxa" w:w="3097"/>
            <w:vAlign w:val="center"/>
            <w:tcMar>
              <w:top w:w="100" w:type="dxa"/>
              <w:start w:w="120" w:type="dxa"/>
              <w:bottom w:w="100" w:type="dxa"/>
              <w:end w:w="120" w:type="dxa"/>
            </w:tcMar>
          </w:tcPr>
          <w:p>
            <w:pPr>
              <w:spacing w:after="0"/>
            </w:pPr>
            <w:r>
              <w:t>Pydantic</w:t>
            </w:r>
          </w:p>
        </w:tc>
        <w:tc>
          <w:tcPr>
            <w:tcW w:type="dxa" w:w="3097"/>
            <w:vAlign w:val="center"/>
            <w:tcMar>
              <w:top w:w="100" w:type="dxa"/>
              <w:start w:w="120" w:type="dxa"/>
              <w:bottom w:w="100" w:type="dxa"/>
              <w:end w:w="120" w:type="dxa"/>
            </w:tcMar>
          </w:tcPr>
          <w:p>
            <w:pPr>
              <w:spacing w:after="0"/>
            </w:pPr>
            <w:r>
              <w:t>Define el contrato de datos y rechaza resultados incompatibles.</w:t>
            </w:r>
          </w:p>
        </w:tc>
      </w:tr>
      <w:tr>
        <w:tc>
          <w:tcPr>
            <w:tcW w:type="dxa" w:w="3097"/>
            <w:vAlign w:val="center"/>
            <w:tcMar>
              <w:top w:w="100" w:type="dxa"/>
              <w:start w:w="120" w:type="dxa"/>
              <w:bottom w:w="100" w:type="dxa"/>
              <w:end w:w="120" w:type="dxa"/>
            </w:tcMar>
            <w:shd w:fill="EAF2F8"/>
          </w:tcPr>
          <w:p>
            <w:pPr>
              <w:spacing w:after="0"/>
            </w:pPr>
            <w:r>
              <w:t>Persistencia futura</w:t>
            </w:r>
          </w:p>
        </w:tc>
        <w:tc>
          <w:tcPr>
            <w:tcW w:type="dxa" w:w="3097"/>
            <w:vAlign w:val="center"/>
            <w:tcMar>
              <w:top w:w="100" w:type="dxa"/>
              <w:start w:w="120" w:type="dxa"/>
              <w:bottom w:w="100" w:type="dxa"/>
              <w:end w:w="120" w:type="dxa"/>
            </w:tcMar>
            <w:shd w:fill="EAF2F8"/>
          </w:tcPr>
          <w:p>
            <w:pPr>
              <w:spacing w:after="0"/>
            </w:pPr>
            <w:r>
              <w:t>PostgreSQL</w:t>
            </w:r>
          </w:p>
        </w:tc>
        <w:tc>
          <w:tcPr>
            <w:tcW w:type="dxa" w:w="3097"/>
            <w:vAlign w:val="center"/>
            <w:tcMar>
              <w:top w:w="100" w:type="dxa"/>
              <w:start w:w="120" w:type="dxa"/>
              <w:bottom w:w="100" w:type="dxa"/>
              <w:end w:w="120" w:type="dxa"/>
            </w:tcMar>
            <w:shd w:fill="EAF2F8"/>
          </w:tcPr>
          <w:p>
            <w:pPr>
              <w:spacing w:after="0"/>
            </w:pPr>
            <w:r>
              <w:t>Base relacional robusta, madura y adecuada para consultas y estadísticas.</w:t>
            </w:r>
          </w:p>
        </w:tc>
      </w:tr>
      <w:tr>
        <w:tc>
          <w:tcPr>
            <w:tcW w:type="dxa" w:w="3097"/>
            <w:vAlign w:val="center"/>
            <w:tcMar>
              <w:top w:w="100" w:type="dxa"/>
              <w:start w:w="120" w:type="dxa"/>
              <w:bottom w:w="100" w:type="dxa"/>
              <w:end w:w="120" w:type="dxa"/>
            </w:tcMar>
          </w:tcPr>
          <w:p>
            <w:pPr>
              <w:spacing w:after="0"/>
            </w:pPr>
            <w:r>
              <w:t>Frontend futuro</w:t>
            </w:r>
          </w:p>
        </w:tc>
        <w:tc>
          <w:tcPr>
            <w:tcW w:type="dxa" w:w="3097"/>
            <w:vAlign w:val="center"/>
            <w:tcMar>
              <w:top w:w="100" w:type="dxa"/>
              <w:start w:w="120" w:type="dxa"/>
              <w:bottom w:w="100" w:type="dxa"/>
              <w:end w:w="120" w:type="dxa"/>
            </w:tcMar>
          </w:tcPr>
          <w:p>
            <w:pPr>
              <w:spacing w:after="0"/>
            </w:pPr>
            <w:r>
              <w:t>React + TypeScript</w:t>
            </w:r>
          </w:p>
        </w:tc>
        <w:tc>
          <w:tcPr>
            <w:tcW w:type="dxa" w:w="3097"/>
            <w:vAlign w:val="center"/>
            <w:tcMar>
              <w:top w:w="100" w:type="dxa"/>
              <w:start w:w="120" w:type="dxa"/>
              <w:bottom w:w="100" w:type="dxa"/>
              <w:end w:w="120" w:type="dxa"/>
            </w:tcMar>
          </w:tcPr>
          <w:p>
            <w:pPr>
              <w:spacing w:after="0"/>
            </w:pPr>
            <w:r>
              <w:t>Separación clara entre cliente y API, con tipado estático.</w:t>
            </w:r>
          </w:p>
        </w:tc>
      </w:tr>
      <w:tr>
        <w:tc>
          <w:tcPr>
            <w:tcW w:type="dxa" w:w="3097"/>
            <w:vAlign w:val="center"/>
            <w:tcMar>
              <w:top w:w="100" w:type="dxa"/>
              <w:start w:w="120" w:type="dxa"/>
              <w:bottom w:w="100" w:type="dxa"/>
              <w:end w:w="120" w:type="dxa"/>
            </w:tcMar>
            <w:shd w:fill="EAF2F8"/>
          </w:tcPr>
          <w:p>
            <w:pPr>
              <w:spacing w:after="0"/>
            </w:pPr>
            <w:r>
              <w:t>IA</w:t>
            </w:r>
          </w:p>
        </w:tc>
        <w:tc>
          <w:tcPr>
            <w:tcW w:type="dxa" w:w="3097"/>
            <w:vAlign w:val="center"/>
            <w:tcMar>
              <w:top w:w="100" w:type="dxa"/>
              <w:start w:w="120" w:type="dxa"/>
              <w:bottom w:w="100" w:type="dxa"/>
              <w:end w:w="120" w:type="dxa"/>
            </w:tcMar>
            <w:shd w:fill="EAF2F8"/>
          </w:tcPr>
          <w:p>
            <w:pPr>
              <w:spacing w:after="0"/>
            </w:pPr>
            <w:r>
              <w:t>API de un proveedor LLM</w:t>
            </w:r>
          </w:p>
        </w:tc>
        <w:tc>
          <w:tcPr>
            <w:tcW w:type="dxa" w:w="3097"/>
            <w:vAlign w:val="center"/>
            <w:tcMar>
              <w:top w:w="100" w:type="dxa"/>
              <w:start w:w="120" w:type="dxa"/>
              <w:bottom w:w="100" w:type="dxa"/>
              <w:end w:w="120" w:type="dxa"/>
            </w:tcMar>
            <w:shd w:fill="EAF2F8"/>
          </w:tcPr>
          <w:p>
            <w:pPr>
              <w:spacing w:after="0"/>
            </w:pPr>
            <w:r>
              <w:t>Permite evaluar modelos sin entrenar infraestructura propia.</w:t>
            </w:r>
          </w:p>
        </w:tc>
      </w:tr>
      <w:tr>
        <w:tc>
          <w:tcPr>
            <w:tcW w:type="dxa" w:w="3097"/>
            <w:vAlign w:val="center"/>
            <w:tcMar>
              <w:top w:w="100" w:type="dxa"/>
              <w:start w:w="120" w:type="dxa"/>
              <w:bottom w:w="100" w:type="dxa"/>
              <w:end w:w="120" w:type="dxa"/>
            </w:tcMar>
          </w:tcPr>
          <w:p>
            <w:pPr>
              <w:spacing w:after="0"/>
            </w:pPr>
            <w:r>
              <w:t>Entorno reproducible</w:t>
            </w:r>
          </w:p>
        </w:tc>
        <w:tc>
          <w:tcPr>
            <w:tcW w:type="dxa" w:w="3097"/>
            <w:vAlign w:val="center"/>
            <w:tcMar>
              <w:top w:w="100" w:type="dxa"/>
              <w:start w:w="120" w:type="dxa"/>
              <w:bottom w:w="100" w:type="dxa"/>
              <w:end w:w="120" w:type="dxa"/>
            </w:tcMar>
          </w:tcPr>
          <w:p>
            <w:pPr>
              <w:spacing w:after="0"/>
            </w:pPr>
            <w:r>
              <w:t>Docker</w:t>
            </w:r>
          </w:p>
        </w:tc>
        <w:tc>
          <w:tcPr>
            <w:tcW w:type="dxa" w:w="3097"/>
            <w:vAlign w:val="center"/>
            <w:tcMar>
              <w:top w:w="100" w:type="dxa"/>
              <w:start w:w="120" w:type="dxa"/>
              <w:bottom w:w="100" w:type="dxa"/>
              <w:end w:w="120" w:type="dxa"/>
            </w:tcMar>
          </w:tcPr>
          <w:p>
            <w:pPr>
              <w:spacing w:after="0"/>
            </w:pPr>
            <w:r>
              <w:t>Facilita instalación, despliegue y repetibilidad.</w:t>
            </w:r>
          </w:p>
        </w:tc>
      </w:tr>
      <w:tr>
        <w:tc>
          <w:tcPr>
            <w:tcW w:type="dxa" w:w="3097"/>
            <w:vAlign w:val="center"/>
            <w:tcMar>
              <w:top w:w="100" w:type="dxa"/>
              <w:start w:w="120" w:type="dxa"/>
              <w:bottom w:w="100" w:type="dxa"/>
              <w:end w:w="120" w:type="dxa"/>
            </w:tcMar>
            <w:shd w:fill="EAF2F8"/>
          </w:tcPr>
          <w:p>
            <w:pPr>
              <w:spacing w:after="0"/>
            </w:pPr>
            <w:r>
              <w:t>Control de versiones</w:t>
            </w:r>
          </w:p>
        </w:tc>
        <w:tc>
          <w:tcPr>
            <w:tcW w:type="dxa" w:w="3097"/>
            <w:vAlign w:val="center"/>
            <w:tcMar>
              <w:top w:w="100" w:type="dxa"/>
              <w:start w:w="120" w:type="dxa"/>
              <w:bottom w:w="100" w:type="dxa"/>
              <w:end w:w="120" w:type="dxa"/>
            </w:tcMar>
            <w:shd w:fill="EAF2F8"/>
          </w:tcPr>
          <w:p>
            <w:pPr>
              <w:spacing w:after="0"/>
            </w:pPr>
            <w:r>
              <w:t>Git y GitHub</w:t>
            </w:r>
          </w:p>
        </w:tc>
        <w:tc>
          <w:tcPr>
            <w:tcW w:type="dxa" w:w="3097"/>
            <w:vAlign w:val="center"/>
            <w:tcMar>
              <w:top w:w="100" w:type="dxa"/>
              <w:start w:w="120" w:type="dxa"/>
              <w:bottom w:w="100" w:type="dxa"/>
              <w:end w:w="120" w:type="dxa"/>
            </w:tcMar>
            <w:shd w:fill="EAF2F8"/>
          </w:tcPr>
          <w:p>
            <w:pPr>
              <w:spacing w:after="0"/>
            </w:pPr>
            <w:r>
              <w:t>Trazabilidad del desarrollo, pruebas y automatización.</w:t>
            </w:r>
          </w:p>
        </w:tc>
      </w:tr>
    </w:tbl>
    <w:p/>
    <w:p>
      <w:r>
        <w:t>La elección definitiva del modelo se realizará después de comparar coste, latencia y calidad sobre el conjunto de evaluación. La aplicación se diseñará con una interfaz de extracción propia para no acoplar el dominio a un proveedor concreto.</w:t>
      </w:r>
    </w:p>
    <w:p>
      <w:pPr>
        <w:pStyle w:val="Heading1"/>
      </w:pPr>
      <w:r>
        <w:t>8. Metodología de desarrollo y evaluación</w:t>
      </w:r>
    </w:p>
    <w:p>
      <w:r>
        <w:t>Se seguirá una metodología incremental. Cada hito producirá un resultado utilizable y evaluable antes de avanzar al siguiente.</w:t>
      </w:r>
    </w:p>
    <w:p>
      <w:pPr>
        <w:pStyle w:val="Heading2"/>
      </w:pPr>
      <w:r>
        <w:t>Hito 1 — Extracción y validación</w:t>
      </w:r>
    </w:p>
    <w:p>
      <w:r>
        <w:t>Se implementará un endpoint que reciba texto, contexto temporal y zona horaria. El sistema solicitará al LLM un JSON candidato, lo normalizará y lo validará con Pydantic. La API devolverá tanto los eventos válidos como advertencias o errores tipados cuando proceda.</w:t>
      </w:r>
    </w:p>
    <w:p>
      <w:pPr>
        <w:pStyle w:val="Heading2"/>
      </w:pPr>
      <w:r>
        <w:t>Hitos posteriores</w:t>
      </w:r>
    </w:p>
    <w:p>
      <w:pPr>
        <w:ind w:left="397" w:hanging="255"/>
      </w:pPr>
      <w:r>
        <w:t>1. Persistencia de eventos en PostgreSQL y migraciones de esquema.</w:t>
      </w:r>
    </w:p>
    <w:p>
      <w:pPr>
        <w:ind w:left="397" w:hanging="255"/>
      </w:pPr>
      <w:r>
        <w:t>2. Interfaz web mínima para registrar y consultar datos.</w:t>
      </w:r>
    </w:p>
    <w:p>
      <w:pPr>
        <w:ind w:left="397" w:hanging="255"/>
      </w:pPr>
      <w:r>
        <w:t>3. Estadísticas y visualizaciones básicas.</w:t>
      </w:r>
    </w:p>
    <w:p>
      <w:pPr>
        <w:ind w:left="397" w:hanging="255"/>
      </w:pPr>
      <w:r>
        <w:t>4. Contenedores, integración continua, observabilidad y registro de métricas.</w:t>
      </w:r>
    </w:p>
    <w:p>
      <w:pPr>
        <w:ind w:left="397" w:hanging="255"/>
      </w:pPr>
      <w:r>
        <w:t>5. Evaluación automatizada y prácticas MLOps: versionado de prompts y datasets, pruebas de regresión y comparación de configuraciones.</w:t>
      </w:r>
    </w:p>
    <w:p>
      <w:pPr>
        <w:pStyle w:val="Heading2"/>
      </w:pPr>
      <w:r>
        <w:t>Plan de evaluación</w:t>
      </w:r>
    </w:p>
    <w:p>
      <w:r>
        <w:t>Se creará un conjunto de ejemplos sintéticos y anotados manualmente, separado del código de producción. Incluirá casos sencillos, múltiples actividades, fechas relativas, unidades diferentes, cantidades ausentes, ambigüedad y texto irrelevante. No utilizará información personal real.</w:t>
      </w:r>
    </w:p>
    <w:p>
      <w:r>
        <w:t>Las métricas iniciales serán:</w:t>
      </w:r>
    </w:p>
    <w:p>
      <w:pPr>
        <w:pStyle w:val="ListBullet"/>
      </w:pPr>
      <w:r>
        <w:t>exactitud por campo: categoría, valor, unidad y fecha;</w:t>
      </w:r>
    </w:p>
    <w:p>
      <w:pPr>
        <w:pStyle w:val="ListBullet"/>
      </w:pPr>
      <w:r>
        <w:t>exactitud por evento completo;</w:t>
      </w:r>
    </w:p>
    <w:p>
      <w:pPr>
        <w:pStyle w:val="ListBullet"/>
      </w:pPr>
      <w:r>
        <w:t>proporción de respuestas que superan la validación;</w:t>
      </w:r>
    </w:p>
    <w:p>
      <w:pPr>
        <w:pStyle w:val="ListBullet"/>
      </w:pPr>
      <w:r>
        <w:t>latencia p50 y p95;</w:t>
      </w:r>
    </w:p>
    <w:p>
      <w:pPr>
        <w:pStyle w:val="ListBullet"/>
      </w:pPr>
      <w:r>
        <w:t>coste estimado por extracción;</w:t>
      </w:r>
    </w:p>
    <w:p>
      <w:pPr>
        <w:pStyle w:val="ListBullet"/>
      </w:pPr>
      <w:r>
        <w:t>número y tipo de errores o advertencias.</w:t>
      </w:r>
    </w:p>
    <w:p>
      <w:r>
        <w:t>Los resultados se analizarán por categoría y por tipo de caso para identificar limitaciones concretas, no solo una cifra global de precisión.</w:t>
      </w:r>
    </w:p>
    <w:p>
      <w:pPr>
        <w:pStyle w:val="Heading1"/>
      </w:pPr>
      <w:r>
        <w:t>9. Privacidad, seguridad y ética</w:t>
      </w:r>
    </w:p>
    <w:p>
      <w:r>
        <w:t>Liflow tratará información relacionada con la rutina de las personas y puede recibir datos sensibles, especialmente si los usuarios describen aspectos de salud. El proyecto adoptará una aproximación de privacidad desde el diseño y por defecto.</w:t>
      </w:r>
    </w:p>
    <w:p>
      <w:r>
        <w:t>Las medidas previstas son:</w:t>
      </w:r>
    </w:p>
    <w:p>
      <w:pPr>
        <w:pStyle w:val="ListBullet"/>
      </w:pPr>
      <w:r>
        <w:t>utilizar datos sintéticos o anonimizados en desarrollo, pruebas y evaluación;</w:t>
      </w:r>
    </w:p>
    <w:p>
      <w:pPr>
        <w:pStyle w:val="ListBullet"/>
      </w:pPr>
      <w:r>
        <w:t>no incluir claves de API, registros personales ni archivos de configuración sensibles en el repositorio;</w:t>
      </w:r>
    </w:p>
    <w:p>
      <w:pPr>
        <w:pStyle w:val="ListBullet"/>
      </w:pPr>
      <w:r>
        <w:t>evitar guardar el texto original en registros técnicos por defecto;</w:t>
      </w:r>
    </w:p>
    <w:p>
      <w:pPr>
        <w:pStyle w:val="ListBullet"/>
      </w:pPr>
      <w:r>
        <w:t>limitar la futura persistencia a los datos necesarios para el objetivo declarado;</w:t>
      </w:r>
    </w:p>
    <w:p>
      <w:pPr>
        <w:pStyle w:val="ListBullet"/>
      </w:pPr>
      <w:r>
        <w:t>documentar periodos de conservación y prever mecanismos de exportación y eliminación de los datos del usuario;</w:t>
      </w:r>
    </w:p>
    <w:p>
      <w:pPr>
        <w:pStyle w:val="ListBullet"/>
      </w:pPr>
      <w:r>
        <w:t>proteger las comunicaciones mediante HTTPS en un despliegue real y aplicar control de acceso cuando se incorpore autenticación;</w:t>
      </w:r>
    </w:p>
    <w:p>
      <w:pPr>
        <w:pStyle w:val="ListBullet"/>
      </w:pPr>
      <w:r>
        <w:t>separar métricas técnicas de contenido personal y minimizar los datos enviados a servicios externos;</w:t>
      </w:r>
    </w:p>
    <w:p>
      <w:pPr>
        <w:pStyle w:val="ListBullet"/>
      </w:pPr>
      <w:r>
        <w:t>indicar claramente que la aplicación no ofrece diagnóstico ni asesoramiento médico.</w:t>
      </w:r>
    </w:p>
    <w:p>
      <w:r>
        <w:t>La evaluación con personas usuarias reales no forma parte del alcance inicial. Si se incorporase en el futuro, requeriría revisar previamente la base jurídica, la información facilitada a las personas participantes y las obligaciones aplicables.</w:t>
      </w:r>
    </w:p>
    <w:p>
      <w:pPr>
        <w:pStyle w:val="Heading1"/>
      </w:pPr>
      <w:r>
        <w:t>10. Riesgos iniciales y mitigación</w:t>
      </w:r>
    </w:p>
    <w:tbl>
      <w:tblPr>
        <w:tblStyle w:val="TableGrid"/>
        <w:tblW w:type="auto" w:w="0"/>
        <w:jc w:val="center"/>
        <w:tblLook w:firstColumn="1" w:firstRow="1" w:lastColumn="0" w:lastRow="0" w:noHBand="0" w:noVBand="1" w:val="04A0"/>
      </w:tblPr>
      <w:tblGrid>
        <w:gridCol w:w="3097"/>
        <w:gridCol w:w="3097"/>
        <w:gridCol w:w="3097"/>
      </w:tblGrid>
      <w:tr>
        <w:trPr>
          <w:tblHeader w:val="true"/>
        </w:trPr>
        <w:tc>
          <w:tcPr>
            <w:tcW w:type="dxa" w:w="3097"/>
            <w:vAlign w:val="center"/>
            <w:tcMar>
              <w:top w:w="100" w:type="dxa"/>
              <w:start w:w="120" w:type="dxa"/>
              <w:bottom w:w="100" w:type="dxa"/>
              <w:end w:w="120" w:type="dxa"/>
            </w:tcMar>
            <w:shd w:fill="1F4E78"/>
          </w:tcPr>
          <w:p>
            <w:pPr>
              <w:spacing w:after="0"/>
            </w:pPr>
            <w:r>
              <w:rPr>
                <w:b/>
                <w:color w:val="FFFFFF"/>
              </w:rPr>
              <w:t>Riesgo</w:t>
            </w:r>
          </w:p>
        </w:tc>
        <w:tc>
          <w:tcPr>
            <w:tcW w:type="dxa" w:w="3097"/>
            <w:vAlign w:val="center"/>
            <w:tcMar>
              <w:top w:w="100" w:type="dxa"/>
              <w:start w:w="120" w:type="dxa"/>
              <w:bottom w:w="100" w:type="dxa"/>
              <w:end w:w="120" w:type="dxa"/>
            </w:tcMar>
            <w:shd w:fill="1F4E78"/>
          </w:tcPr>
          <w:p>
            <w:pPr>
              <w:spacing w:after="0"/>
            </w:pPr>
            <w:r>
              <w:rPr>
                <w:b/>
                <w:color w:val="FFFFFF"/>
              </w:rPr>
              <w:t>Impacto</w:t>
            </w:r>
          </w:p>
        </w:tc>
        <w:tc>
          <w:tcPr>
            <w:tcW w:type="dxa" w:w="3097"/>
            <w:vAlign w:val="center"/>
            <w:tcMar>
              <w:top w:w="100" w:type="dxa"/>
              <w:start w:w="120" w:type="dxa"/>
              <w:bottom w:w="100" w:type="dxa"/>
              <w:end w:w="120" w:type="dxa"/>
            </w:tcMar>
            <w:shd w:fill="1F4E78"/>
          </w:tcPr>
          <w:p>
            <w:pPr>
              <w:spacing w:after="0"/>
            </w:pPr>
            <w:r>
              <w:rPr>
                <w:b/>
                <w:color w:val="FFFFFF"/>
              </w:rPr>
              <w:t>Mitigación</w:t>
            </w:r>
          </w:p>
        </w:tc>
      </w:tr>
      <w:tr>
        <w:tc>
          <w:tcPr>
            <w:tcW w:type="dxa" w:w="3097"/>
            <w:vAlign w:val="center"/>
            <w:tcMar>
              <w:top w:w="100" w:type="dxa"/>
              <w:start w:w="120" w:type="dxa"/>
              <w:bottom w:w="100" w:type="dxa"/>
              <w:end w:w="120" w:type="dxa"/>
            </w:tcMar>
          </w:tcPr>
          <w:p>
            <w:pPr>
              <w:spacing w:after="0"/>
            </w:pPr>
            <w:r>
              <w:t>Extracción errónea del LLM</w:t>
            </w:r>
          </w:p>
        </w:tc>
        <w:tc>
          <w:tcPr>
            <w:tcW w:type="dxa" w:w="3097"/>
            <w:vAlign w:val="center"/>
            <w:tcMar>
              <w:top w:w="100" w:type="dxa"/>
              <w:start w:w="120" w:type="dxa"/>
              <w:bottom w:w="100" w:type="dxa"/>
              <w:end w:w="120" w:type="dxa"/>
            </w:tcMar>
          </w:tcPr>
          <w:p>
            <w:pPr>
              <w:spacing w:after="0"/>
            </w:pPr>
            <w:r>
              <w:t>Registros incorrectos</w:t>
            </w:r>
          </w:p>
        </w:tc>
        <w:tc>
          <w:tcPr>
            <w:tcW w:type="dxa" w:w="3097"/>
            <w:vAlign w:val="center"/>
            <w:tcMar>
              <w:top w:w="100" w:type="dxa"/>
              <w:start w:w="120" w:type="dxa"/>
              <w:bottom w:w="100" w:type="dxa"/>
              <w:end w:w="120" w:type="dxa"/>
            </w:tcMar>
          </w:tcPr>
          <w:p>
            <w:pPr>
              <w:spacing w:after="0"/>
            </w:pPr>
            <w:r>
              <w:t>Validación, advertencias, dataset de evaluación y revisión por casos.</w:t>
            </w:r>
          </w:p>
        </w:tc>
      </w:tr>
      <w:tr>
        <w:tc>
          <w:tcPr>
            <w:tcW w:type="dxa" w:w="3097"/>
            <w:vAlign w:val="center"/>
            <w:tcMar>
              <w:top w:w="100" w:type="dxa"/>
              <w:start w:w="120" w:type="dxa"/>
              <w:bottom w:w="100" w:type="dxa"/>
              <w:end w:w="120" w:type="dxa"/>
            </w:tcMar>
            <w:shd w:fill="EAF2F8"/>
          </w:tcPr>
          <w:p>
            <w:pPr>
              <w:spacing w:after="0"/>
            </w:pPr>
            <w:r>
              <w:t>Ambigüedad del lenguaje natural</w:t>
            </w:r>
          </w:p>
        </w:tc>
        <w:tc>
          <w:tcPr>
            <w:tcW w:type="dxa" w:w="3097"/>
            <w:vAlign w:val="center"/>
            <w:tcMar>
              <w:top w:w="100" w:type="dxa"/>
              <w:start w:w="120" w:type="dxa"/>
              <w:bottom w:w="100" w:type="dxa"/>
              <w:end w:w="120" w:type="dxa"/>
            </w:tcMar>
            <w:shd w:fill="EAF2F8"/>
          </w:tcPr>
          <w:p>
            <w:pPr>
              <w:spacing w:after="0"/>
            </w:pPr>
            <w:r>
              <w:t>Datos incompletos</w:t>
            </w:r>
          </w:p>
        </w:tc>
        <w:tc>
          <w:tcPr>
            <w:tcW w:type="dxa" w:w="3097"/>
            <w:vAlign w:val="center"/>
            <w:tcMar>
              <w:top w:w="100" w:type="dxa"/>
              <w:start w:w="120" w:type="dxa"/>
              <w:bottom w:w="100" w:type="dxa"/>
              <w:end w:w="120" w:type="dxa"/>
            </w:tcMar>
            <w:shd w:fill="EAF2F8"/>
          </w:tcPr>
          <w:p>
            <w:pPr>
              <w:spacing w:after="0"/>
            </w:pPr>
            <w:r>
              <w:t>No inventar valores; devolver campos no interpretados o solicitar confirmación en fases futuras.</w:t>
            </w:r>
          </w:p>
        </w:tc>
      </w:tr>
      <w:tr>
        <w:tc>
          <w:tcPr>
            <w:tcW w:type="dxa" w:w="3097"/>
            <w:vAlign w:val="center"/>
            <w:tcMar>
              <w:top w:w="100" w:type="dxa"/>
              <w:start w:w="120" w:type="dxa"/>
              <w:bottom w:w="100" w:type="dxa"/>
              <w:end w:w="120" w:type="dxa"/>
            </w:tcMar>
          </w:tcPr>
          <w:p>
            <w:pPr>
              <w:spacing w:after="0"/>
            </w:pPr>
            <w:r>
              <w:t>Coste variable de la API</w:t>
            </w:r>
          </w:p>
        </w:tc>
        <w:tc>
          <w:tcPr>
            <w:tcW w:type="dxa" w:w="3097"/>
            <w:vAlign w:val="center"/>
            <w:tcMar>
              <w:top w:w="100" w:type="dxa"/>
              <w:start w:w="120" w:type="dxa"/>
              <w:bottom w:w="100" w:type="dxa"/>
              <w:end w:w="120" w:type="dxa"/>
            </w:tcMar>
          </w:tcPr>
          <w:p>
            <w:pPr>
              <w:spacing w:after="0"/>
            </w:pPr>
            <w:r>
              <w:t>Superar presupuesto</w:t>
            </w:r>
          </w:p>
        </w:tc>
        <w:tc>
          <w:tcPr>
            <w:tcW w:type="dxa" w:w="3097"/>
            <w:vAlign w:val="center"/>
            <w:tcMar>
              <w:top w:w="100" w:type="dxa"/>
              <w:start w:w="120" w:type="dxa"/>
              <w:bottom w:w="100" w:type="dxa"/>
              <w:end w:w="120" w:type="dxa"/>
            </w:tcMar>
          </w:tcPr>
          <w:p>
            <w:pPr>
              <w:spacing w:after="0"/>
            </w:pPr>
            <w:r>
              <w:t>Límites de gasto, modelos económicos, pruebas simuladas y medición por petición.</w:t>
            </w:r>
          </w:p>
        </w:tc>
      </w:tr>
      <w:tr>
        <w:tc>
          <w:tcPr>
            <w:tcW w:type="dxa" w:w="3097"/>
            <w:vAlign w:val="center"/>
            <w:tcMar>
              <w:top w:w="100" w:type="dxa"/>
              <w:start w:w="120" w:type="dxa"/>
              <w:bottom w:w="100" w:type="dxa"/>
              <w:end w:w="120" w:type="dxa"/>
            </w:tcMar>
            <w:shd w:fill="EAF2F8"/>
          </w:tcPr>
          <w:p>
            <w:pPr>
              <w:spacing w:after="0"/>
            </w:pPr>
            <w:r>
              <w:t>Dependencia de proveedor</w:t>
            </w:r>
          </w:p>
        </w:tc>
        <w:tc>
          <w:tcPr>
            <w:tcW w:type="dxa" w:w="3097"/>
            <w:vAlign w:val="center"/>
            <w:tcMar>
              <w:top w:w="100" w:type="dxa"/>
              <w:start w:w="120" w:type="dxa"/>
              <w:bottom w:w="100" w:type="dxa"/>
              <w:end w:w="120" w:type="dxa"/>
            </w:tcMar>
            <w:shd w:fill="EAF2F8"/>
          </w:tcPr>
          <w:p>
            <w:pPr>
              <w:spacing w:after="0"/>
            </w:pPr>
            <w:r>
              <w:t>Dificultad para cambiar de modelo</w:t>
            </w:r>
          </w:p>
        </w:tc>
        <w:tc>
          <w:tcPr>
            <w:tcW w:type="dxa" w:w="3097"/>
            <w:vAlign w:val="center"/>
            <w:tcMar>
              <w:top w:w="100" w:type="dxa"/>
              <w:start w:w="120" w:type="dxa"/>
              <w:bottom w:w="100" w:type="dxa"/>
              <w:end w:w="120" w:type="dxa"/>
            </w:tcMar>
            <w:shd w:fill="EAF2F8"/>
          </w:tcPr>
          <w:p>
            <w:pPr>
              <w:spacing w:after="0"/>
            </w:pPr>
            <w:r>
              <w:t>Interfaz de extracción desacoplada del proveedor.</w:t>
            </w:r>
          </w:p>
        </w:tc>
      </w:tr>
      <w:tr>
        <w:tc>
          <w:tcPr>
            <w:tcW w:type="dxa" w:w="3097"/>
            <w:vAlign w:val="center"/>
            <w:tcMar>
              <w:top w:w="100" w:type="dxa"/>
              <w:start w:w="120" w:type="dxa"/>
              <w:bottom w:w="100" w:type="dxa"/>
              <w:end w:w="120" w:type="dxa"/>
            </w:tcMar>
          </w:tcPr>
          <w:p>
            <w:pPr>
              <w:spacing w:after="0"/>
            </w:pPr>
            <w:r>
              <w:t>Exposición de datos personales</w:t>
            </w:r>
          </w:p>
        </w:tc>
        <w:tc>
          <w:tcPr>
            <w:tcW w:type="dxa" w:w="3097"/>
            <w:vAlign w:val="center"/>
            <w:tcMar>
              <w:top w:w="100" w:type="dxa"/>
              <w:start w:w="120" w:type="dxa"/>
              <w:bottom w:w="100" w:type="dxa"/>
              <w:end w:w="120" w:type="dxa"/>
            </w:tcMar>
          </w:tcPr>
          <w:p>
            <w:pPr>
              <w:spacing w:after="0"/>
            </w:pPr>
            <w:r>
              <w:t>Riesgo de privacidad</w:t>
            </w:r>
          </w:p>
        </w:tc>
        <w:tc>
          <w:tcPr>
            <w:tcW w:type="dxa" w:w="3097"/>
            <w:vAlign w:val="center"/>
            <w:tcMar>
              <w:top w:w="100" w:type="dxa"/>
              <w:start w:w="120" w:type="dxa"/>
              <w:bottom w:w="100" w:type="dxa"/>
              <w:end w:w="120" w:type="dxa"/>
            </w:tcMar>
          </w:tcPr>
          <w:p>
            <w:pPr>
              <w:spacing w:after="0"/>
            </w:pPr>
            <w:r>
              <w:t>Minimización, anonimización en pruebas, secretos fuera del repositorio y política de logs.</w:t>
            </w:r>
          </w:p>
        </w:tc>
      </w:tr>
      <w:tr>
        <w:tc>
          <w:tcPr>
            <w:tcW w:type="dxa" w:w="3097"/>
            <w:vAlign w:val="center"/>
            <w:tcMar>
              <w:top w:w="100" w:type="dxa"/>
              <w:start w:w="120" w:type="dxa"/>
              <w:bottom w:w="100" w:type="dxa"/>
              <w:end w:w="120" w:type="dxa"/>
            </w:tcMar>
            <w:shd w:fill="EAF2F8"/>
          </w:tcPr>
          <w:p>
            <w:pPr>
              <w:spacing w:after="0"/>
            </w:pPr>
            <w:r>
              <w:t>Sobreingeniería</w:t>
            </w:r>
          </w:p>
        </w:tc>
        <w:tc>
          <w:tcPr>
            <w:tcW w:type="dxa" w:w="3097"/>
            <w:vAlign w:val="center"/>
            <w:tcMar>
              <w:top w:w="100" w:type="dxa"/>
              <w:start w:w="120" w:type="dxa"/>
              <w:bottom w:w="100" w:type="dxa"/>
              <w:end w:w="120" w:type="dxa"/>
            </w:tcMar>
            <w:shd w:fill="EAF2F8"/>
          </w:tcPr>
          <w:p>
            <w:pPr>
              <w:spacing w:after="0"/>
            </w:pPr>
            <w:r>
              <w:t>Retraso y falta de foco</w:t>
            </w:r>
          </w:p>
        </w:tc>
        <w:tc>
          <w:tcPr>
            <w:tcW w:type="dxa" w:w="3097"/>
            <w:vAlign w:val="center"/>
            <w:tcMar>
              <w:top w:w="100" w:type="dxa"/>
              <w:start w:w="120" w:type="dxa"/>
              <w:bottom w:w="100" w:type="dxa"/>
              <w:end w:w="120" w:type="dxa"/>
            </w:tcMar>
            <w:shd w:fill="EAF2F8"/>
          </w:tcPr>
          <w:p>
            <w:pPr>
              <w:spacing w:after="0"/>
            </w:pPr>
            <w:r>
              <w:t>Hitos pequeños y criterios de aceptación antes de ampliar funcionalidades.</w:t>
            </w:r>
          </w:p>
        </w:tc>
      </w:tr>
    </w:tbl>
    <w:p/>
    <w:p>
      <w:pPr>
        <w:pStyle w:val="Heading1"/>
      </w:pPr>
      <w:r>
        <w:t>11. Criterios de éxito del primer hito</w:t>
      </w:r>
    </w:p>
    <w:p>
      <w:r>
        <w:t>El hito 1 se considerará completado cuando exista una API documentada que:</w:t>
      </w:r>
    </w:p>
    <w:p>
      <w:pPr>
        <w:ind w:left="397" w:hanging="255"/>
      </w:pPr>
      <w:r>
        <w:t>1. reciba una entrada de texto y contexto temporal;</w:t>
      </w:r>
    </w:p>
    <w:p>
      <w:pPr>
        <w:ind w:left="397" w:hanging="255"/>
      </w:pPr>
      <w:r>
        <w:t>2. solicite una extracción estructurada a un LLM;</w:t>
      </w:r>
    </w:p>
    <w:p>
      <w:pPr>
        <w:ind w:left="397" w:hanging="255"/>
      </w:pPr>
      <w:r>
        <w:t>3. valide localmente el resultado con modelos Pydantic;</w:t>
      </w:r>
    </w:p>
    <w:p>
      <w:pPr>
        <w:ind w:left="397" w:hanging="255"/>
      </w:pPr>
      <w:r>
        <w:t>4. devuelva un resultado consistente o un error tipado;</w:t>
      </w:r>
    </w:p>
    <w:p>
      <w:pPr>
        <w:ind w:left="397" w:hanging="255"/>
      </w:pPr>
      <w:r>
        <w:t>5. disponga de pruebas unitarias sin dependencia de una API externa;</w:t>
      </w:r>
    </w:p>
    <w:p>
      <w:pPr>
        <w:ind w:left="397" w:hanging="255"/>
      </w:pPr>
      <w:r>
        <w:t>6. ejecute un conjunto inicial de evaluación y registre las métricas definidas.</w:t>
      </w:r>
    </w:p>
    <w:p>
      <w:pPr>
        <w:pStyle w:val="Heading1"/>
      </w:pPr>
      <w:r>
        <w:t>12. Referencias iniciales</w:t>
      </w:r>
    </w:p>
    <w:p>
      <w:pPr>
        <w:pStyle w:val="ListBullet"/>
      </w:pPr>
      <w:r>
        <w:t>European Parliament and Council. *Regulation (EU) 2016/679 (General Data Protection Regulation)*, artículo 5. https://eur-lex.europa.eu/legal-content/EN/TXT/?uri=CELEX:32016R0679</w:t>
      </w:r>
    </w:p>
    <w:p>
      <w:pPr>
        <w:pStyle w:val="ListBullet"/>
      </w:pPr>
      <w:r>
        <w:t>Agencia Española de Protección de Datos. *Protección de datos desde el diseño*. https://www.aepd.es/derechos-y-deberes/cumple-tus-deberes/medidas-de-cumplimiento/proteccion-de-datos-desde-el-diseno</w:t>
      </w:r>
    </w:p>
    <w:p>
      <w:pPr>
        <w:pStyle w:val="ListBullet"/>
      </w:pPr>
      <w:r>
        <w:t>OpenAI. *API Platform: modelos y precios*. https://openai.com/api/</w:t>
      </w:r>
    </w:p>
    <w:p>
      <w:pPr>
        <w:pStyle w:val="ListBullet"/>
      </w:pPr>
      <w:r>
        <w:t>FastAPI. *FastAPI documentation*. https://fastapi.tiangolo.com/</w:t>
      </w:r>
    </w:p>
    <w:p>
      <w:pPr>
        <w:pStyle w:val="ListBullet"/>
      </w:pPr>
      <w:r>
        <w:t>Pydantic. *Pydantic documentation*. https://docs.pydantic.dev/</w:t>
      </w:r>
    </w:p>
    <w:p>
      <w:pPr>
        <w:pStyle w:val="Heading1"/>
      </w:pPr>
      <w:r>
        <w:t>Anexo A. Glosario inicial</w:t>
      </w:r>
    </w:p>
    <w:p>
      <w:pPr>
        <w:pStyle w:val="ListBullet"/>
      </w:pPr>
      <w:r>
        <w:rPr>
          <w:b/>
        </w:rPr>
        <w:t>API:</w:t>
      </w:r>
      <w:r>
        <w:t xml:space="preserve"> interfaz que permite que dos programas se comuniquen mediante peticiones y respuestas.</w:t>
      </w:r>
    </w:p>
    <w:p>
      <w:pPr>
        <w:pStyle w:val="ListBullet"/>
      </w:pPr>
      <w:r>
        <w:rPr>
          <w:b/>
        </w:rPr>
        <w:t>LLM:</w:t>
      </w:r>
      <w:r>
        <w:t xml:space="preserve"> modelo de lenguaje de gran tamaño capaz de interpretar y generar texto.</w:t>
      </w:r>
    </w:p>
    <w:p>
      <w:pPr>
        <w:pStyle w:val="ListBullet"/>
      </w:pPr>
      <w:r>
        <w:rPr>
          <w:b/>
        </w:rPr>
        <w:t>JSON:</w:t>
      </w:r>
      <w:r>
        <w:t xml:space="preserve"> formato de texto estructurado habitual para intercambiar datos entre aplicaciones.</w:t>
      </w:r>
    </w:p>
    <w:p>
      <w:pPr>
        <w:pStyle w:val="ListBullet"/>
      </w:pPr>
      <w:r>
        <w:rPr>
          <w:b/>
        </w:rPr>
        <w:t>Pydantic:</w:t>
      </w:r>
      <w:r>
        <w:t xml:space="preserve"> biblioteca de Python que comprueba que los datos recibidos tienen el formato y las reglas esperadas.</w:t>
      </w:r>
    </w:p>
    <w:p>
      <w:pPr>
        <w:pStyle w:val="ListBullet"/>
      </w:pPr>
      <w:r>
        <w:rPr>
          <w:b/>
        </w:rPr>
        <w:t>Persistir datos:</w:t>
      </w:r>
      <w:r>
        <w:t xml:space="preserve"> almacenar información de forma duradera, por ejemplo en una base de datos.</w:t>
      </w:r>
    </w:p>
    <w:p>
      <w:pPr>
        <w:pStyle w:val="ListBullet"/>
      </w:pPr>
      <w:r>
        <w:rPr>
          <w:b/>
        </w:rPr>
        <w:t>MLOps:</w:t>
      </w:r>
      <w:r>
        <w:t xml:space="preserve"> prácticas para desarrollar, evaluar, desplegar y monitorizar sistemas de aprendizaje automático de forma reproducible.</w:t>
      </w:r>
    </w:p>
    <w:sectPr w:rsidR="00FC693F" w:rsidRPr="0006063C" w:rsidSect="00034616">
      <w:footerReference w:type="default" r:id="rId9"/>
      <w:pgSz w:w="12240" w:h="15840"/>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Liflow — Borrador inicial del Trabajo Fin de Grado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4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