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F172A"/>
          <w:sz w:val="40"/>
          <w:szCs w:val="40"/>
        </w:rPr>
        <w:t xml:space="preserve">Diseño de la Interfaz de Usuario</w:t>
      </w:r>
    </w:p>
    <w:p>
      <w:pPr>
        <w:pBdr>
          <w:bottom w:val="single" w:color="2563EB" w:sz="6" w:space="6"/>
        </w:pBdr>
        <w:spacing w:after="160"/>
      </w:pPr>
      <w:r>
        <w:rPr>
          <w:b/>
          <w:bCs/>
          <w:color w:val="2563EB"/>
          <w:sz w:val="24"/>
          <w:szCs w:val="24"/>
        </w:rPr>
        <w:t xml:space="preserve">Prototipo de alta fidelidad — Tele Import S.A.</w:t>
      </w:r>
    </w:p>
    <w:p>
      <w:pPr>
        <w:pStyle w:val="Heading2"/>
      </w:pPr>
      <w:r>
        <w:t xml:space="preserve">Metodología y sistema de diseño</w:t>
      </w:r>
    </w:p>
    <w:p>
      <w:pPr>
        <w:spacing w:after="120"/>
        <w:jc w:val="both"/>
      </w:pPr>
      <w:r>
        <w:rPr>
          <w:sz w:val="21"/>
          <w:szCs w:val="21"/>
        </w:rPr>
        <w:t xml:space="preserve">El presente prototipo de alta fidelidad representa la interfaz final del sistema de comercio electrónico de Tele Import S.A. Se diseñó de forma coherente con la implementación del sistema, reutilizando su sistema de diseño para garantizar fidelidad entre el prototipo y el producto desarrollado. Se contemplaron tanto las vistas de escritorio como las versiones móviles, aplicando un diseño responsivo que adapta el contenido a distintos dispositivos.</w:t>
      </w:r>
    </w:p>
    <w:p>
      <w:pPr>
        <w:spacing w:after="140"/>
        <w:jc w:val="both"/>
      </w:pPr>
      <w:r>
        <w:rPr>
          <w:sz w:val="21"/>
          <w:szCs w:val="21"/>
        </w:rPr>
        <w:t xml:space="preserve">El sistema de diseño se sustenta en una paleta de color institucional azul sobre una escala de grises fríos, la tipografía Inter, esquinas redondeadas, sombras suaves y un fondo general gris claro, según se resume en la siguiente tabla.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700"/>
        <w:gridCol w:w="1700"/>
        <w:gridCol w:w="2560"/>
      </w:tblGrid>
      <w:tr>
        <w:trPr>
          <w:tblHeader/>
        </w:trPr>
        <w:tc>
          <w:tcPr>
            <w:tcW w:type="dxa" w:w="3400"/>
            <w:tcBorders>
              <w:top w:val="single" w:color="CBD5E1" w:sz="1"/>
              <w:left w:val="single" w:color="CBD5E1" w:sz="1"/>
              <w:bottom w:val="single" w:color="CBD5E1" w:sz="1"/>
              <w:right w:val="single" w:color="CBD5E1" w:sz="1"/>
            </w:tcBorders>
            <w:shd w:fill="2563EB" w:color="auto" w:val="clear"/>
            <w:tcMar>
              <w:top w:type="dxa" w:w="60"/>
              <w:left w:type="dxa" w:w="120"/>
              <w:bottom w:type="dxa" w:w="60"/>
              <w:right w:type="dxa" w:w="120"/>
            </w:tcMar>
            <w:vAlign w:val="center"/>
          </w:tcPr>
          <w:p>
            <w:r>
              <w:rPr>
                <w:b/>
                <w:bCs/>
                <w:color w:val="FFFFFF"/>
                <w:sz w:val="19"/>
                <w:szCs w:val="19"/>
              </w:rPr>
              <w:t xml:space="preserve">Elemento</w:t>
            </w:r>
          </w:p>
        </w:tc>
        <w:tc>
          <w:tcPr>
            <w:tcW w:type="dxa" w:w="1700"/>
            <w:tcBorders>
              <w:top w:val="single" w:color="CBD5E1" w:sz="1"/>
              <w:left w:val="single" w:color="CBD5E1" w:sz="1"/>
              <w:bottom w:val="single" w:color="CBD5E1" w:sz="1"/>
              <w:right w:val="single" w:color="CBD5E1" w:sz="1"/>
            </w:tcBorders>
            <w:shd w:fill="2563EB" w:color="auto" w:val="clear"/>
            <w:tcMar>
              <w:top w:type="dxa" w:w="60"/>
              <w:left w:type="dxa" w:w="120"/>
              <w:bottom w:type="dxa" w:w="60"/>
              <w:right w:type="dxa" w:w="120"/>
            </w:tcMar>
            <w:vAlign w:val="center"/>
          </w:tcPr>
          <w:p>
            <w:r>
              <w:rPr>
                <w:b/>
                <w:bCs/>
                <w:color w:val="FFFFFF"/>
                <w:sz w:val="19"/>
                <w:szCs w:val="19"/>
              </w:rPr>
              <w:t xml:space="preserve">Hex</w:t>
            </w:r>
          </w:p>
        </w:tc>
        <w:tc>
          <w:tcPr>
            <w:tcW w:type="dxa" w:w="1700"/>
            <w:tcBorders>
              <w:top w:val="single" w:color="CBD5E1" w:sz="1"/>
              <w:left w:val="single" w:color="CBD5E1" w:sz="1"/>
              <w:bottom w:val="single" w:color="CBD5E1" w:sz="1"/>
              <w:right w:val="single" w:color="CBD5E1" w:sz="1"/>
            </w:tcBorders>
            <w:shd w:fill="2563EB" w:color="auto" w:val="clear"/>
            <w:tcMar>
              <w:top w:type="dxa" w:w="60"/>
              <w:left w:type="dxa" w:w="120"/>
              <w:bottom w:type="dxa" w:w="60"/>
              <w:right w:type="dxa" w:w="120"/>
            </w:tcMar>
            <w:vAlign w:val="center"/>
          </w:tcPr>
          <w:p>
            <w:r>
              <w:rPr>
                <w:b/>
                <w:bCs/>
                <w:color w:val="FFFFFF"/>
                <w:sz w:val="19"/>
                <w:szCs w:val="19"/>
              </w:rPr>
              <w:t xml:space="preserve">Muestra</w:t>
            </w:r>
          </w:p>
        </w:tc>
        <w:tc>
          <w:tcPr>
            <w:tcW w:type="dxa" w:w="2560"/>
            <w:tcBorders>
              <w:top w:val="single" w:color="CBD5E1" w:sz="1"/>
              <w:left w:val="single" w:color="CBD5E1" w:sz="1"/>
              <w:bottom w:val="single" w:color="CBD5E1" w:sz="1"/>
              <w:right w:val="single" w:color="CBD5E1" w:sz="1"/>
            </w:tcBorders>
            <w:shd w:fill="2563EB" w:color="auto" w:val="clear"/>
            <w:tcMar>
              <w:top w:type="dxa" w:w="60"/>
              <w:left w:type="dxa" w:w="120"/>
              <w:bottom w:type="dxa" w:w="60"/>
              <w:right w:type="dxa" w:w="120"/>
            </w:tcMar>
            <w:vAlign w:val="center"/>
          </w:tcPr>
          <w:p>
            <w:r>
              <w:rPr>
                <w:b/>
                <w:bCs/>
                <w:color w:val="FFFFFF"/>
                <w:sz w:val="19"/>
                <w:szCs w:val="19"/>
              </w:rPr>
              <w:t xml:space="preserve">Tipografía</w:t>
            </w:r>
          </w:p>
        </w:tc>
      </w:tr>
      <w:tr>
        <w:tc>
          <w:tcPr>
            <w:tcW w:type="dxa" w:w="34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r>
              <w:rPr>
                <w:sz w:val="18"/>
                <w:szCs w:val="18"/>
              </w:rPr>
              <w:t xml:space="preserve">Color institucional (primario)</w:t>
            </w:r>
          </w:p>
        </w:tc>
        <w:tc>
          <w:tcPr>
            <w:tcW w:type="dxa" w:w="17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r>
              <w:rPr>
                <w:rFonts w:ascii="Consolas" w:cs="Consolas" w:eastAsia="Consolas" w:hAnsi="Consolas"/>
                <w:sz w:val="18"/>
                <w:szCs w:val="18"/>
              </w:rPr>
              <w:t xml:space="preserve">#2563EB</w:t>
            </w:r>
          </w:p>
        </w:tc>
        <w:tc>
          <w:tcPr>
            <w:tcW w:type="dxa" w:w="1700"/>
            <w:tcBorders>
              <w:top w:val="single" w:color="CBD5E1" w:sz="1"/>
              <w:left w:val="single" w:color="CBD5E1" w:sz="1"/>
              <w:bottom w:val="single" w:color="CBD5E1" w:sz="1"/>
              <w:right w:val="single" w:color="CBD5E1" w:sz="1"/>
            </w:tcBorders>
            <w:shd w:fill="2563EB" w:color="auto" w:val="clear"/>
            <w:tcMar>
              <w:top w:type="dxa" w:w="60"/>
              <w:left w:type="dxa" w:w="120"/>
              <w:bottom w:type="dxa" w:w="60"/>
              <w:right w:type="dxa" w:w="120"/>
            </w:tcMar>
            <w:vAlign w:val="center"/>
          </w:tcPr>
          <w:p>
            <w:r>
              <w:rPr>
                <w:sz w:val="18"/>
                <w:szCs w:val="18"/>
              </w:rPr>
              <w:t xml:space="preserve"> </w:t>
            </w:r>
          </w:p>
        </w:tc>
        <w:tc>
          <w:tcPr>
            <w:tcW w:type="dxa" w:w="256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r>
              <w:rPr>
                <w:sz w:val="18"/>
                <w:szCs w:val="18"/>
              </w:rPr>
              <w:t xml:space="preserve">Inter (regular a bold)</w:t>
            </w:r>
          </w:p>
        </w:tc>
      </w:tr>
      <w:tr>
        <w:tc>
          <w:tcPr>
            <w:tcW w:type="dxa" w:w="34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r>
              <w:rPr>
                <w:sz w:val="18"/>
                <w:szCs w:val="18"/>
              </w:rPr>
              <w:t xml:space="preserve">Azul oscuro (énfasis / hero)</w:t>
            </w:r>
          </w:p>
        </w:tc>
        <w:tc>
          <w:tcPr>
            <w:tcW w:type="dxa" w:w="17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r>
              <w:rPr>
                <w:rFonts w:ascii="Consolas" w:cs="Consolas" w:eastAsia="Consolas" w:hAnsi="Consolas"/>
                <w:sz w:val="18"/>
                <w:szCs w:val="18"/>
              </w:rPr>
              <w:t xml:space="preserve">#1E3A8A</w:t>
            </w:r>
          </w:p>
        </w:tc>
        <w:tc>
          <w:tcPr>
            <w:tcW w:type="dxa" w:w="1700"/>
            <w:tcBorders>
              <w:top w:val="single" w:color="CBD5E1" w:sz="1"/>
              <w:left w:val="single" w:color="CBD5E1" w:sz="1"/>
              <w:bottom w:val="single" w:color="CBD5E1" w:sz="1"/>
              <w:right w:val="single" w:color="CBD5E1" w:sz="1"/>
            </w:tcBorders>
            <w:shd w:fill="1E3A8A" w:color="auto" w:val="clear"/>
            <w:tcMar>
              <w:top w:type="dxa" w:w="60"/>
              <w:left w:type="dxa" w:w="120"/>
              <w:bottom w:type="dxa" w:w="60"/>
              <w:right w:type="dxa" w:w="120"/>
            </w:tcMar>
            <w:vAlign w:val="center"/>
          </w:tcPr>
          <w:p>
            <w:r>
              <w:rPr>
                <w:sz w:val="18"/>
                <w:szCs w:val="18"/>
              </w:rPr>
              <w:t xml:space="preserve"> </w:t>
            </w:r>
          </w:p>
        </w:tc>
        <w:tc>
          <w:tcPr>
            <w:tcW w:type="dxa" w:w="256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r>
              <w:rPr>
                <w:sz w:val="18"/>
                <w:szCs w:val="18"/>
              </w:rPr>
              <w:t xml:space="preserve"/>
            </w:r>
          </w:p>
        </w:tc>
      </w:tr>
      <w:tr>
        <w:tc>
          <w:tcPr>
            <w:tcW w:type="dxa" w:w="34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r>
              <w:rPr>
                <w:sz w:val="18"/>
                <w:szCs w:val="18"/>
              </w:rPr>
              <w:t xml:space="preserve">Fondo de página (superficie)</w:t>
            </w:r>
          </w:p>
        </w:tc>
        <w:tc>
          <w:tcPr>
            <w:tcW w:type="dxa" w:w="17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r>
              <w:rPr>
                <w:rFonts w:ascii="Consolas" w:cs="Consolas" w:eastAsia="Consolas" w:hAnsi="Consolas"/>
                <w:sz w:val="18"/>
                <w:szCs w:val="18"/>
              </w:rPr>
              <w:t xml:space="preserve">#F5F5F7</w:t>
            </w:r>
          </w:p>
        </w:tc>
        <w:tc>
          <w:tcPr>
            <w:tcW w:type="dxa" w:w="1700"/>
            <w:tcBorders>
              <w:top w:val="single" w:color="CBD5E1" w:sz="1"/>
              <w:left w:val="single" w:color="CBD5E1" w:sz="1"/>
              <w:bottom w:val="single" w:color="CBD5E1" w:sz="1"/>
              <w:right w:val="single" w:color="CBD5E1" w:sz="1"/>
            </w:tcBorders>
            <w:shd w:fill="F5F5F7" w:color="auto" w:val="clear"/>
            <w:tcMar>
              <w:top w:type="dxa" w:w="60"/>
              <w:left w:type="dxa" w:w="120"/>
              <w:bottom w:type="dxa" w:w="60"/>
              <w:right w:type="dxa" w:w="120"/>
            </w:tcMar>
            <w:vAlign w:val="center"/>
          </w:tcPr>
          <w:p>
            <w:r>
              <w:rPr>
                <w:sz w:val="18"/>
                <w:szCs w:val="18"/>
              </w:rPr>
              <w:t xml:space="preserve"> </w:t>
            </w:r>
          </w:p>
        </w:tc>
        <w:tc>
          <w:tcPr>
            <w:tcW w:type="dxa" w:w="256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r>
              <w:rPr>
                <w:sz w:val="18"/>
                <w:szCs w:val="18"/>
              </w:rPr>
              <w:t xml:space="preserve"/>
            </w:r>
          </w:p>
        </w:tc>
      </w:tr>
      <w:tr>
        <w:tc>
          <w:tcPr>
            <w:tcW w:type="dxa" w:w="34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r>
              <w:rPr>
                <w:sz w:val="18"/>
                <w:szCs w:val="18"/>
              </w:rPr>
              <w:t xml:space="preserve">Texto principal</w:t>
            </w:r>
          </w:p>
        </w:tc>
        <w:tc>
          <w:tcPr>
            <w:tcW w:type="dxa" w:w="170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r>
              <w:rPr>
                <w:rFonts w:ascii="Consolas" w:cs="Consolas" w:eastAsia="Consolas" w:hAnsi="Consolas"/>
                <w:sz w:val="18"/>
                <w:szCs w:val="18"/>
              </w:rPr>
              <w:t xml:space="preserve">#0F172A</w:t>
            </w:r>
          </w:p>
        </w:tc>
        <w:tc>
          <w:tcPr>
            <w:tcW w:type="dxa" w:w="1700"/>
            <w:tcBorders>
              <w:top w:val="single" w:color="CBD5E1" w:sz="1"/>
              <w:left w:val="single" w:color="CBD5E1" w:sz="1"/>
              <w:bottom w:val="single" w:color="CBD5E1" w:sz="1"/>
              <w:right w:val="single" w:color="CBD5E1" w:sz="1"/>
            </w:tcBorders>
            <w:shd w:fill="0F172A" w:color="auto" w:val="clear"/>
            <w:tcMar>
              <w:top w:type="dxa" w:w="60"/>
              <w:left w:type="dxa" w:w="120"/>
              <w:bottom w:type="dxa" w:w="60"/>
              <w:right w:type="dxa" w:w="120"/>
            </w:tcMar>
            <w:vAlign w:val="center"/>
          </w:tcPr>
          <w:p>
            <w:r>
              <w:rPr>
                <w:sz w:val="18"/>
                <w:szCs w:val="18"/>
              </w:rPr>
              <w:t xml:space="preserve"> </w:t>
            </w:r>
          </w:p>
        </w:tc>
        <w:tc>
          <w:tcPr>
            <w:tcW w:type="dxa" w:w="2560"/>
            <w:tcBorders>
              <w:top w:val="single" w:color="CBD5E1" w:sz="1"/>
              <w:left w:val="single" w:color="CBD5E1" w:sz="1"/>
              <w:bottom w:val="single" w:color="CBD5E1" w:sz="1"/>
              <w:right w:val="single" w:color="CBD5E1" w:sz="1"/>
            </w:tcBorders>
            <w:tcMar>
              <w:top w:type="dxa" w:w="60"/>
              <w:left w:type="dxa" w:w="120"/>
              <w:bottom w:type="dxa" w:w="60"/>
              <w:right w:type="dxa" w:w="120"/>
            </w:tcMar>
            <w:vAlign w:val="center"/>
          </w:tcPr>
          <w:p>
            <w:r>
              <w:rPr>
                <w:sz w:val="18"/>
                <w:szCs w:val="18"/>
              </w:rPr>
              <w:t xml:space="preserve"/>
            </w:r>
          </w:p>
        </w:tc>
      </w:tr>
    </w:tbl>
    <w:p>
      <w:pPr>
        <w:spacing w:after="40" w:before="120"/>
      </w:pPr>
      <w:r>
        <w:rPr>
          <w:i/>
          <w:iCs/>
          <w:color w:val="64748B"/>
          <w:sz w:val="17"/>
          <w:szCs w:val="17"/>
        </w:rPr>
        <w:t xml:space="preserve">Nota: la numeración de las figuras puede ajustarse para integrarse a la sección correspondiente del documento de tesis.</w:t>
      </w:r>
    </w:p>
    <w:p>
      <w:pPr>
        <w:pStyle w:val="Heading2"/>
      </w:pPr>
      <w:r>
        <w:t xml:space="preserve">Pantallas del sistema</w:t>
      </w:r>
    </w:p>
    <w:p>
      <w:pPr>
        <w:keepNext/>
        <w:spacing w:after="80" w:before="260"/>
      </w:pPr>
      <w:r>
        <w:rPr>
          <w:b/>
          <w:bCs/>
          <w:color w:val="0F172A"/>
          <w:sz w:val="22"/>
          <w:szCs w:val="22"/>
        </w:rPr>
        <w:t xml:space="preserve">Pantalla de inicio (Home) — versión de escritorio</w:t>
      </w:r>
    </w:p>
    <w:p>
      <w:pPr>
        <w:spacing w:after="140"/>
        <w:jc w:val="both"/>
      </w:pPr>
      <w:r>
        <w:rPr>
          <w:sz w:val="21"/>
          <w:szCs w:val="21"/>
        </w:rPr>
        <w:t xml:space="preserve">La página de inicio funciona como puerta de entrada al sistema. Presenta un encabezado fijo con buscador, acceso al carrito y barra de categorías; un banner principal (hero) con la propuesta de valor y llamadas a la acción; una grilla de productos destacados con indicadores de descuento y stock; y un pie de página con datos de contacto y enlaces. El diseño prioriza la jerarquía visual sobre el color institucional.</w:t>
      </w:r>
    </w:p>
    <w:p>
      <w:pPr>
        <w:keepNext/>
        <w:spacing w:after="40"/>
        <w:jc w:val="center"/>
      </w:pPr>
      <w:r>
        <w:drawing>
          <wp:inline distT="0" distB="0" distL="0" distR="0">
            <wp:extent cx="5334000" cy="5257800"/>
            <wp:effectExtent t="0" r="0" b="0" l="0"/>
            <wp:docPr id="1" name="fig1" descr="La página de inicio funciona como puerta de entrada al sistema. Presenta un encabezado fij" title="Pantalla de inicio (Home) — versión de escrito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5257800"/>
                    </a:xfrm>
                    <a:prstGeom prst="rect">
                      <a:avLst/>
                    </a:prstGeom>
                  </pic:spPr>
                </pic:pic>
              </a:graphicData>
            </a:graphic>
          </wp:inline>
        </w:drawing>
      </w:r>
    </w:p>
    <w:p>
      <w:pPr>
        <w:spacing w:after="220"/>
        <w:jc w:val="center"/>
      </w:pPr>
      <w:r>
        <w:rPr>
          <w:b/>
          <w:bCs/>
          <w:i/>
          <w:iCs/>
          <w:color w:val="64748B"/>
          <w:sz w:val="18"/>
          <w:szCs w:val="18"/>
        </w:rPr>
        <w:t xml:space="preserve">Figura 1. </w:t>
      </w:r>
      <w:r>
        <w:rPr>
          <w:i/>
          <w:iCs/>
          <w:color w:val="64748B"/>
          <w:sz w:val="18"/>
          <w:szCs w:val="18"/>
        </w:rPr>
        <w:t xml:space="preserve">Pantalla de inicio (Home) — versión de escritorio. </w:t>
      </w:r>
      <w:r>
        <w:rPr>
          <w:i/>
          <w:iCs/>
          <w:color w:val="64748B"/>
          <w:sz w:val="18"/>
          <w:szCs w:val="18"/>
        </w:rPr>
        <w:t xml:space="preserve">Fuente: elaboración propia.</w:t>
      </w:r>
    </w:p>
    <w:p>
      <w:pPr>
        <w:keepNext/>
        <w:spacing w:after="80" w:before="260"/>
      </w:pPr>
      <w:r>
        <w:rPr>
          <w:b/>
          <w:bCs/>
          <w:color w:val="0F172A"/>
          <w:sz w:val="22"/>
          <w:szCs w:val="22"/>
        </w:rPr>
        <w:t xml:space="preserve">Catálogo de productos con filtros</w:t>
      </w:r>
    </w:p>
    <w:p>
      <w:pPr>
        <w:spacing w:after="140"/>
        <w:jc w:val="both"/>
      </w:pPr>
      <w:r>
        <w:rPr>
          <w:sz w:val="21"/>
          <w:szCs w:val="21"/>
        </w:rPr>
        <w:t xml:space="preserve">El catálogo permite explorar el inventario mediante filtros por categoría y rango de precios, además del ordenamiento de resultados. Cada producto se presenta como una tarjeta con imagen, categoría, nombre, precio (y precio anterior tachado cuando existe descuento), disponibilidad de stock y acción de compra directa. La grilla se adapta a distintos tamaños de pantalla.</w:t>
      </w:r>
    </w:p>
    <w:p>
      <w:pPr>
        <w:keepNext/>
        <w:spacing w:after="40"/>
        <w:jc w:val="center"/>
      </w:pPr>
      <w:r>
        <w:drawing>
          <wp:inline distT="0" distB="0" distL="0" distR="0">
            <wp:extent cx="5334000" cy="4905375"/>
            <wp:effectExtent t="0" r="0" b="0" l="0"/>
            <wp:docPr id="1" name="fig2" descr="El catálogo permite explorar el inventario mediante filtros por categoría y rango de preci" title="Catálogo de productos con filt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905375"/>
                    </a:xfrm>
                    <a:prstGeom prst="rect">
                      <a:avLst/>
                    </a:prstGeom>
                  </pic:spPr>
                </pic:pic>
              </a:graphicData>
            </a:graphic>
          </wp:inline>
        </w:drawing>
      </w:r>
    </w:p>
    <w:p>
      <w:pPr>
        <w:spacing w:after="220"/>
        <w:jc w:val="center"/>
      </w:pPr>
      <w:r>
        <w:rPr>
          <w:b/>
          <w:bCs/>
          <w:i/>
          <w:iCs/>
          <w:color w:val="64748B"/>
          <w:sz w:val="18"/>
          <w:szCs w:val="18"/>
        </w:rPr>
        <w:t xml:space="preserve">Figura 2. </w:t>
      </w:r>
      <w:r>
        <w:rPr>
          <w:i/>
          <w:iCs/>
          <w:color w:val="64748B"/>
          <w:sz w:val="18"/>
          <w:szCs w:val="18"/>
        </w:rPr>
        <w:t xml:space="preserve">Catálogo de productos con filtros. </w:t>
      </w:r>
      <w:r>
        <w:rPr>
          <w:i/>
          <w:iCs/>
          <w:color w:val="64748B"/>
          <w:sz w:val="18"/>
          <w:szCs w:val="18"/>
        </w:rPr>
        <w:t xml:space="preserve">Fuente: elaboración propia.</w:t>
      </w:r>
    </w:p>
    <w:p>
      <w:pPr>
        <w:keepNext/>
        <w:spacing w:after="80" w:before="260"/>
      </w:pPr>
      <w:r>
        <w:rPr>
          <w:b/>
          <w:bCs/>
          <w:color w:val="0F172A"/>
          <w:sz w:val="22"/>
          <w:szCs w:val="22"/>
        </w:rPr>
        <w:t xml:space="preserve">Ficha de detalle de producto</w:t>
      </w:r>
    </w:p>
    <w:p>
      <w:pPr>
        <w:spacing w:after="140"/>
        <w:jc w:val="both"/>
      </w:pPr>
      <w:r>
        <w:rPr>
          <w:sz w:val="21"/>
          <w:szCs w:val="21"/>
        </w:rPr>
        <w:t xml:space="preserve">La ficha de producto ofrece una galería de imágenes con función de ampliación (zoom), el precio con su descuento, el estado de stock, una descripción y etiquetas. Incluye el botón de agregar al carrito con selector de cantidad, las opciones de entrega, botones para compartir en redes sociales (WhatsApp, Facebook y X) y la sección de reseñas y calificaciones de clientes.</w:t>
      </w:r>
    </w:p>
    <w:p>
      <w:pPr>
        <w:keepNext/>
        <w:spacing w:after="40"/>
        <w:jc w:val="center"/>
      </w:pPr>
      <w:r>
        <w:drawing>
          <wp:inline distT="0" distB="0" distL="0" distR="0">
            <wp:extent cx="5715000" cy="3781425"/>
            <wp:effectExtent t="0" r="0" b="0" l="0"/>
            <wp:docPr id="1" name="fig3" descr="La ficha de producto ofrece una galería de imágenes con función de ampliación (zoom), el p" title="Ficha de detalle de produ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781425"/>
                    </a:xfrm>
                    <a:prstGeom prst="rect">
                      <a:avLst/>
                    </a:prstGeom>
                  </pic:spPr>
                </pic:pic>
              </a:graphicData>
            </a:graphic>
          </wp:inline>
        </w:drawing>
      </w:r>
    </w:p>
    <w:p>
      <w:pPr>
        <w:spacing w:after="220"/>
        <w:jc w:val="center"/>
      </w:pPr>
      <w:r>
        <w:rPr>
          <w:b/>
          <w:bCs/>
          <w:i/>
          <w:iCs/>
          <w:color w:val="64748B"/>
          <w:sz w:val="18"/>
          <w:szCs w:val="18"/>
        </w:rPr>
        <w:t xml:space="preserve">Figura 3. </w:t>
      </w:r>
      <w:r>
        <w:rPr>
          <w:i/>
          <w:iCs/>
          <w:color w:val="64748B"/>
          <w:sz w:val="18"/>
          <w:szCs w:val="18"/>
        </w:rPr>
        <w:t xml:space="preserve">Ficha de detalle de producto. </w:t>
      </w:r>
      <w:r>
        <w:rPr>
          <w:i/>
          <w:iCs/>
          <w:color w:val="64748B"/>
          <w:sz w:val="18"/>
          <w:szCs w:val="18"/>
        </w:rPr>
        <w:t xml:space="preserve">Fuente: elaboración propia.</w:t>
      </w:r>
    </w:p>
    <w:p>
      <w:pPr>
        <w:keepNext/>
        <w:spacing w:after="80" w:before="260"/>
      </w:pPr>
      <w:r>
        <w:rPr>
          <w:b/>
          <w:bCs/>
          <w:color w:val="0F172A"/>
          <w:sz w:val="22"/>
          <w:szCs w:val="22"/>
        </w:rPr>
        <w:t xml:space="preserve">Carrito de compras</w:t>
      </w:r>
    </w:p>
    <w:p>
      <w:pPr>
        <w:spacing w:after="140"/>
        <w:jc w:val="both"/>
      </w:pPr>
      <w:r>
        <w:rPr>
          <w:sz w:val="21"/>
          <w:szCs w:val="21"/>
        </w:rPr>
        <w:t xml:space="preserve">El carrito lista los productos seleccionados con su imagen, SKU, precio y un control para modificar la cantidad o eliminarlos. A la derecha, el resumen del pedido muestra el subtotal y el total estimado, junto al acceso para finalizar la compra. Los importes se recalculan dinámicamente ante cualquier cambio.</w:t>
      </w:r>
    </w:p>
    <w:p>
      <w:pPr>
        <w:keepNext/>
        <w:spacing w:after="40"/>
        <w:jc w:val="center"/>
      </w:pPr>
      <w:r>
        <w:drawing>
          <wp:inline distT="0" distB="0" distL="0" distR="0">
            <wp:extent cx="5143500" cy="3724275"/>
            <wp:effectExtent t="0" r="0" b="0" l="0"/>
            <wp:docPr id="1" name="fig4" descr="El carrito lista los productos seleccionados con su imagen, SKU, precio y un control para " title="Carrito de comp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724275"/>
                    </a:xfrm>
                    <a:prstGeom prst="rect">
                      <a:avLst/>
                    </a:prstGeom>
                  </pic:spPr>
                </pic:pic>
              </a:graphicData>
            </a:graphic>
          </wp:inline>
        </w:drawing>
      </w:r>
    </w:p>
    <w:p>
      <w:pPr>
        <w:spacing w:after="220"/>
        <w:jc w:val="center"/>
      </w:pPr>
      <w:r>
        <w:rPr>
          <w:b/>
          <w:bCs/>
          <w:i/>
          <w:iCs/>
          <w:color w:val="64748B"/>
          <w:sz w:val="18"/>
          <w:szCs w:val="18"/>
        </w:rPr>
        <w:t xml:space="preserve">Figura 4. </w:t>
      </w:r>
      <w:r>
        <w:rPr>
          <w:i/>
          <w:iCs/>
          <w:color w:val="64748B"/>
          <w:sz w:val="18"/>
          <w:szCs w:val="18"/>
        </w:rPr>
        <w:t xml:space="preserve">Carrito de compras. </w:t>
      </w:r>
      <w:r>
        <w:rPr>
          <w:i/>
          <w:iCs/>
          <w:color w:val="64748B"/>
          <w:sz w:val="18"/>
          <w:szCs w:val="18"/>
        </w:rPr>
        <w:t xml:space="preserve">Fuente: elaboración propia.</w:t>
      </w:r>
    </w:p>
    <w:p>
      <w:pPr>
        <w:keepNext/>
        <w:spacing w:after="80" w:before="260"/>
      </w:pPr>
      <w:r>
        <w:rPr>
          <w:b/>
          <w:bCs/>
          <w:color w:val="0F172A"/>
          <w:sz w:val="22"/>
          <w:szCs w:val="22"/>
        </w:rPr>
        <w:t xml:space="preserve">Proceso de pago (checkout) con Mercado Pago — versión móvil</w:t>
      </w:r>
    </w:p>
    <w:p>
      <w:pPr>
        <w:spacing w:after="140"/>
        <w:jc w:val="both"/>
      </w:pPr>
      <w:r>
        <w:rPr>
          <w:sz w:val="21"/>
          <w:szCs w:val="21"/>
        </w:rPr>
        <w:t xml:space="preserve">El proceso de finalización de compra permite elegir el método de entrega (retiro en sucursal sin costo o envío a domicilio), aplicar cupones de descuento y revisar el resumen con subtotal, descuento y total. El pago se completa mediante la integración con Mercado Pago. La figura corresponde a la versión móvil del flujo.</w:t>
      </w:r>
    </w:p>
    <w:p>
      <w:pPr>
        <w:keepNext/>
        <w:spacing w:after="40"/>
        <w:jc w:val="center"/>
      </w:pPr>
      <w:r>
        <w:drawing>
          <wp:inline distT="0" distB="0" distL="0" distR="0">
            <wp:extent cx="2381250" cy="3076575"/>
            <wp:effectExtent t="0" r="0" b="0" l="0"/>
            <wp:docPr id="1" name="fig5" descr="El proceso de finalización de compra permite elegir el método de entrega (retiro en sucurs" title="Proceso de pago (checkout) con Mercado Pago — versión móv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381250" cy="3076575"/>
                    </a:xfrm>
                    <a:prstGeom prst="rect">
                      <a:avLst/>
                    </a:prstGeom>
                  </pic:spPr>
                </pic:pic>
              </a:graphicData>
            </a:graphic>
          </wp:inline>
        </w:drawing>
      </w:r>
    </w:p>
    <w:p>
      <w:pPr>
        <w:spacing w:after="220"/>
        <w:jc w:val="center"/>
      </w:pPr>
      <w:r>
        <w:rPr>
          <w:b/>
          <w:bCs/>
          <w:i/>
          <w:iCs/>
          <w:color w:val="64748B"/>
          <w:sz w:val="18"/>
          <w:szCs w:val="18"/>
        </w:rPr>
        <w:t xml:space="preserve">Figura 5. </w:t>
      </w:r>
      <w:r>
        <w:rPr>
          <w:i/>
          <w:iCs/>
          <w:color w:val="64748B"/>
          <w:sz w:val="18"/>
          <w:szCs w:val="18"/>
        </w:rPr>
        <w:t xml:space="preserve">Proceso de pago (checkout) con Mercado Pago — versión móvil. </w:t>
      </w:r>
      <w:r>
        <w:rPr>
          <w:i/>
          <w:iCs/>
          <w:color w:val="64748B"/>
          <w:sz w:val="18"/>
          <w:szCs w:val="18"/>
        </w:rPr>
        <w:t xml:space="preserve">Fuente: elaboración propia.</w:t>
      </w:r>
    </w:p>
    <w:p>
      <w:pPr>
        <w:keepNext/>
        <w:spacing w:after="80" w:before="260"/>
      </w:pPr>
      <w:r>
        <w:rPr>
          <w:b/>
          <w:bCs/>
          <w:color w:val="0F172A"/>
          <w:sz w:val="22"/>
          <w:szCs w:val="22"/>
        </w:rPr>
        <w:t xml:space="preserve">Panel de administración — Tablero (dashboard)</w:t>
      </w:r>
    </w:p>
    <w:p>
      <w:pPr>
        <w:spacing w:after="140"/>
        <w:jc w:val="both"/>
      </w:pPr>
      <w:r>
        <w:rPr>
          <w:sz w:val="21"/>
          <w:szCs w:val="21"/>
        </w:rPr>
        <w:t xml:space="preserve">El panel de administración centraliza la gestión del sistema. El tablero presenta métricas clave (pedidos, ingresos, productos y usuarios), el listado de pedidos recientes con su estado (pendiente, pagado, procesando, enviado, entregado) y alertas de stock bajo. El menú lateral da acceso a la gestión de productos, stock, pedidos, promociones, reportes, reseñas, usuarios y auditoría.</w:t>
      </w:r>
    </w:p>
    <w:p>
      <w:pPr>
        <w:keepNext/>
        <w:spacing w:after="40"/>
        <w:jc w:val="center"/>
      </w:pPr>
      <w:r>
        <w:drawing>
          <wp:inline distT="0" distB="0" distL="0" distR="0">
            <wp:extent cx="5715000" cy="2733675"/>
            <wp:effectExtent t="0" r="0" b="0" l="0"/>
            <wp:docPr id="1" name="fig6" descr="El panel de administración centraliza la gestión del sistema. El tablero presenta métricas" title="Panel de administración — Tablero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733675"/>
                    </a:xfrm>
                    <a:prstGeom prst="rect">
                      <a:avLst/>
                    </a:prstGeom>
                  </pic:spPr>
                </pic:pic>
              </a:graphicData>
            </a:graphic>
          </wp:inline>
        </w:drawing>
      </w:r>
    </w:p>
    <w:p>
      <w:pPr>
        <w:spacing w:after="220"/>
        <w:jc w:val="center"/>
      </w:pPr>
      <w:r>
        <w:rPr>
          <w:b/>
          <w:bCs/>
          <w:i/>
          <w:iCs/>
          <w:color w:val="64748B"/>
          <w:sz w:val="18"/>
          <w:szCs w:val="18"/>
        </w:rPr>
        <w:t xml:space="preserve">Figura 6. </w:t>
      </w:r>
      <w:r>
        <w:rPr>
          <w:i/>
          <w:iCs/>
          <w:color w:val="64748B"/>
          <w:sz w:val="18"/>
          <w:szCs w:val="18"/>
        </w:rPr>
        <w:t xml:space="preserve">Panel de administración — Tablero (dashboard). </w:t>
      </w:r>
      <w:r>
        <w:rPr>
          <w:i/>
          <w:iCs/>
          <w:color w:val="64748B"/>
          <w:sz w:val="18"/>
          <w:szCs w:val="18"/>
        </w:rPr>
        <w:t xml:space="preserve">Fuente: elaboración propia.</w:t>
      </w:r>
    </w:p>
    <w:p>
      <w:pPr>
        <w:keepNext/>
        <w:spacing w:after="80" w:before="260"/>
      </w:pPr>
      <w:r>
        <w:rPr>
          <w:b/>
          <w:bCs/>
          <w:color w:val="0F172A"/>
          <w:sz w:val="22"/>
          <w:szCs w:val="22"/>
        </w:rPr>
        <w:t xml:space="preserve">Página de inicio — versión móvil (diseño responsivo)</w:t>
      </w:r>
    </w:p>
    <w:p>
      <w:pPr>
        <w:spacing w:after="140"/>
        <w:jc w:val="both"/>
      </w:pPr>
      <w:r>
        <w:rPr>
          <w:sz w:val="21"/>
          <w:szCs w:val="21"/>
        </w:rPr>
        <w:t xml:space="preserve">Versión móvil de la página de inicio. El diseño responsivo reorganiza el contenido en una sola columna, con el menú colapsado, el banner compacto y la grilla de productos en dos columnas, manteniendo la coherencia visual con la versión de escritorio.</w:t>
      </w:r>
    </w:p>
    <w:p>
      <w:pPr>
        <w:keepNext/>
        <w:spacing w:after="40"/>
        <w:jc w:val="center"/>
      </w:pPr>
      <w:r>
        <w:drawing>
          <wp:inline distT="0" distB="0" distL="0" distR="0">
            <wp:extent cx="2381250" cy="3810000"/>
            <wp:effectExtent t="0" r="0" b="0" l="0"/>
            <wp:docPr id="1" name="fig7" descr="Versión móvil de la página de inicio. El diseño responsivo reorganiza el contenido en una " title="Página de inicio — versión móvil (diseño respons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381250" cy="3810000"/>
                    </a:xfrm>
                    <a:prstGeom prst="rect">
                      <a:avLst/>
                    </a:prstGeom>
                  </pic:spPr>
                </pic:pic>
              </a:graphicData>
            </a:graphic>
          </wp:inline>
        </w:drawing>
      </w:r>
    </w:p>
    <w:p>
      <w:pPr>
        <w:spacing w:after="220"/>
        <w:jc w:val="center"/>
      </w:pPr>
      <w:r>
        <w:rPr>
          <w:b/>
          <w:bCs/>
          <w:i/>
          <w:iCs/>
          <w:color w:val="64748B"/>
          <w:sz w:val="18"/>
          <w:szCs w:val="18"/>
        </w:rPr>
        <w:t xml:space="preserve">Figura 7. </w:t>
      </w:r>
      <w:r>
        <w:rPr>
          <w:i/>
          <w:iCs/>
          <w:color w:val="64748B"/>
          <w:sz w:val="18"/>
          <w:szCs w:val="18"/>
        </w:rPr>
        <w:t xml:space="preserve">Página de inicio — versión móvil (diseño responsivo). </w:t>
      </w:r>
      <w:r>
        <w:rPr>
          <w:i/>
          <w:iCs/>
          <w:color w:val="64748B"/>
          <w:sz w:val="18"/>
          <w:szCs w:val="18"/>
        </w:rPr>
        <w:t xml:space="preserve">Fuente: elaboración propia.</w:t>
      </w:r>
    </w:p>
    <w:p>
      <w:pPr>
        <w:keepNext/>
        <w:spacing w:after="80" w:before="260"/>
      </w:pPr>
      <w:r>
        <w:rPr>
          <w:b/>
          <w:bCs/>
          <w:color w:val="0F172A"/>
          <w:sz w:val="22"/>
          <w:szCs w:val="22"/>
        </w:rPr>
        <w:t xml:space="preserve">Vista general del prototipo (todas las pantallas)</w:t>
      </w:r>
    </w:p>
    <w:p>
      <w:pPr>
        <w:spacing w:after="140"/>
        <w:jc w:val="both"/>
      </w:pPr>
      <w:r>
        <w:rPr>
          <w:sz w:val="21"/>
          <w:szCs w:val="21"/>
        </w:rPr>
        <w:t xml:space="preserve">Composición general del prototipo, que reúne todas las pantallas diseñadas para apreciar la coherencia del sistema de diseño en su conjunto.</w:t>
      </w:r>
    </w:p>
    <w:p>
      <w:pPr>
        <w:keepNext/>
        <w:spacing w:after="40"/>
        <w:jc w:val="center"/>
      </w:pPr>
      <w:r>
        <w:drawing>
          <wp:inline distT="0" distB="0" distL="0" distR="0">
            <wp:extent cx="1790700" cy="7115175"/>
            <wp:effectExtent t="0" r="0" b="0" l="0"/>
            <wp:docPr id="1" name="fig8" descr="Composición general del prototipo, que reúne todas las pantallas diseñadas para apreciar l" title="Vista general del prototipo (todas las pantall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790700" cy="7115175"/>
                    </a:xfrm>
                    <a:prstGeom prst="rect">
                      <a:avLst/>
                    </a:prstGeom>
                  </pic:spPr>
                </pic:pic>
              </a:graphicData>
            </a:graphic>
          </wp:inline>
        </w:drawing>
      </w:r>
    </w:p>
    <w:p>
      <w:pPr>
        <w:spacing w:after="220"/>
        <w:jc w:val="center"/>
      </w:pPr>
      <w:r>
        <w:rPr>
          <w:b/>
          <w:bCs/>
          <w:i/>
          <w:iCs/>
          <w:color w:val="64748B"/>
          <w:sz w:val="18"/>
          <w:szCs w:val="18"/>
        </w:rPr>
        <w:t xml:space="preserve">Figura 8. </w:t>
      </w:r>
      <w:r>
        <w:rPr>
          <w:i/>
          <w:iCs/>
          <w:color w:val="64748B"/>
          <w:sz w:val="18"/>
          <w:szCs w:val="18"/>
        </w:rPr>
        <w:t xml:space="preserve">Vista general del prototipo (todas las pantallas). </w:t>
      </w:r>
      <w:r>
        <w:rPr>
          <w:i/>
          <w:iCs/>
          <w:color w:val="64748B"/>
          <w:sz w:val="18"/>
          <w:szCs w:val="18"/>
        </w:rPr>
        <w:t xml:space="preserve">Fuente: elaboración propia.</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Tele Import S.A. — Diseño de interfaz   ·   </w:t>
    </w:r>
    <w:r>
      <w:rPr>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30" w:before="300"/>
      <w:outlineLvl w:val="1"/>
    </w:pPr>
    <w:rPr>
      <w:rFonts w:ascii="Calibri" w:cs="Calibri" w:eastAsia="Calibri" w:hAnsi="Calibri"/>
      <w:b/>
      <w:bCs/>
      <w:color w:val="2563EB"/>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9ed563e29bb0d407faf6ccb99ffcace8173498b.png"/><Relationship Id="rId9" Type="http://schemas.openxmlformats.org/officeDocument/2006/relationships/image" Target="media/9168e8b4dd66b8fa7950224b7f9c78df2171c6d0.png"/><Relationship Id="rId10" Type="http://schemas.openxmlformats.org/officeDocument/2006/relationships/image" Target="media/cb2d2d5104e3fd3cf4347e45e702b0bfb98755a4.png"/><Relationship Id="rId11" Type="http://schemas.openxmlformats.org/officeDocument/2006/relationships/image" Target="media/7df28331412d7f5626aa881c87592632b4879edb.png"/><Relationship Id="rId12" Type="http://schemas.openxmlformats.org/officeDocument/2006/relationships/image" Target="media/1ee52097f7b9019ceb0527f3b510d60abef7ba49.png"/><Relationship Id="rId13" Type="http://schemas.openxmlformats.org/officeDocument/2006/relationships/image" Target="media/d007f042908b6ee277c489dc681360903d9b1871.png"/><Relationship Id="rId14" Type="http://schemas.openxmlformats.org/officeDocument/2006/relationships/image" Target="media/932cf2e82a7ce99e3a767935e5b8c679349af95d.png"/><Relationship Id="rId15" Type="http://schemas.openxmlformats.org/officeDocument/2006/relationships/image" Target="media/1a2d37591139bf852ddde8b0a33b7eca38f20f90.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2026-06-14T22:57:59.356Z</dcterms:created>
  <dcterms:modified xsi:type="dcterms:W3CDTF">2026-06-14T22:57:59.357Z</dcterms:modified>
</cp:coreProperties>
</file>

<file path=docProps/custom.xml><?xml version="1.0" encoding="utf-8"?>
<Properties xmlns="http://schemas.openxmlformats.org/officeDocument/2006/custom-properties" xmlns:vt="http://schemas.openxmlformats.org/officeDocument/2006/docPropsVTypes"/>
</file>