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0006/2019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R$ 1.200,00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FRANCISCO RICARDO DE SOUZA - CPF/CNPJ Nº 721.730.842-91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DUZENTOS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entrada do Contrato de Honorários Nº 20190001</w:t>
      </w:r>
    </w:p>
    <w:p/>
    <w:p/>
    <w:p>
      <w:pPr>
        <w:pStyle w:val="pRight"/>
      </w:pPr>
      <w:r>
        <w:rPr>
          <w:rStyle w:val="fBodyItalicData"/>
        </w:rPr>
        <w:t xml:space="preserve">Manaus/AM, Segunda-feira, 21 de outubro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0006/2019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R$ 1.200,00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FRANCISCO RICARDO DE SOUZA - CPF/CNPJ Nº 721.730.842-91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DUZENTOS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entrada do Contrato de Honorários Nº 20190001</w:t>
      </w:r>
    </w:p>
    <w:p/>
    <w:p/>
    <w:p>
      <w:pPr>
        <w:pStyle w:val="pRight"/>
      </w:pPr>
      <w:r>
        <w:rPr>
          <w:rStyle w:val="fBodyItalicData"/>
        </w:rPr>
        <w:t xml:space="preserve">Manaus/AM, Segunda-feira, 21 de outubro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6"/>
      <w:szCs w:val="26"/>
      <w:b w:val="1"/>
      <w:bCs w:val="1"/>
    </w:rPr>
  </w:style>
  <w:style w:type="character">
    <w:name w:val="fBodyItalic"/>
    <w:rPr>
      <w:rFonts w:ascii="arial" w:hAnsi="arial" w:eastAsia="arial" w:cs="arial"/>
      <w:sz w:val="26"/>
      <w:szCs w:val="26"/>
      <w:b w:val="1"/>
      <w:bCs w:val="1"/>
      <w:i w:val="1"/>
      <w:iCs w:val="1"/>
      <w:u w:val="single"/>
      <w:shd w:val="clear" w:fill="ccccff"/>
    </w:rPr>
  </w:style>
  <w:style w:type="character">
    <w:name w:val="fBodyItalicData"/>
    <w:rPr>
      <w:rFonts w:ascii="arial" w:hAnsi="arial" w:eastAsia="arial" w:cs="arial"/>
      <w:sz w:val="26"/>
      <w:szCs w:val="26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2019-10-22T09:01:14-04:00</dcterms:created>
  <dcterms:modified xsi:type="dcterms:W3CDTF">2019-10-22T09:01:14-04:00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