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044/2021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R$ 1.100,00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SELMA CRISTINA DE MOURA COSTA - CPF/CNPJ Nº 684.625.302-53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CEM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20200006 - Parcela 6/6</w:t>
      </w:r>
    </w:p>
    <w:p/>
    <w:p/>
    <w:p>
      <w:pPr>
        <w:pStyle w:val="pRight"/>
      </w:pPr>
      <w:r>
        <w:rPr>
          <w:rStyle w:val="fBodyItalicData"/>
        </w:rPr>
        <w:t xml:space="preserve">Manaus/AM, Sexta-feira, 28 de maio de 2021.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044/2021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R$ 1.100,00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SELMA CRISTINA DE MOURA COSTA - CPF/CNPJ Nº 684.625.302-53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CEM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20200006  - Parcela 6/6</w:t>
      </w:r>
    </w:p>
    <w:p/>
    <w:p/>
    <w:p>
      <w:pPr>
        <w:pStyle w:val="pRight"/>
      </w:pPr>
      <w:r>
        <w:rPr>
          <w:rStyle w:val="fBodyItalicData"/>
        </w:rPr>
        <w:t xml:space="preserve">Manaus/AM, Sexta-feira, 28 de maio de 2021.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2021-05-28T08:38:47-04:00</dcterms:created>
  <dcterms:modified xsi:type="dcterms:W3CDTF">2021-05-28T08:38:47-04:00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