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C28CF" w:rsidRDefault="00A737B1">
      <w:r>
        <w:t xml:space="preserve">DIACUA VIVA </w:t>
      </w:r>
    </w:p>
    <w:p w14:paraId="00000002" w14:textId="39124D61" w:rsidR="005C28CF" w:rsidRDefault="00A737B1">
      <w:r>
        <w:t xml:space="preserve">DIAGNÓSTICO Árbol Cultural para Villavicencio Activa </w:t>
      </w:r>
    </w:p>
    <w:p w14:paraId="0E2F5EB5" w14:textId="4A50EF6A" w:rsidR="00A737B1" w:rsidRDefault="00A737B1"/>
    <w:p w14:paraId="1DFD8F0D" w14:textId="23659B86" w:rsidR="00A737B1" w:rsidRDefault="00A737B1"/>
    <w:p w14:paraId="504072C1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067">
        <w:rPr>
          <w:rFonts w:ascii="Times New Roman" w:eastAsia="Times New Roman" w:hAnsi="Times New Roman" w:cs="Times New Roman"/>
          <w:b/>
          <w:bCs/>
          <w:sz w:val="27"/>
          <w:szCs w:val="27"/>
        </w:rPr>
        <w:t>I. Justificación Estratégica</w:t>
      </w:r>
    </w:p>
    <w:p w14:paraId="537F3FFC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sz w:val="24"/>
          <w:szCs w:val="24"/>
        </w:rPr>
        <w:t>La necesidad de esta investigación se sustenta en tres argumentos estratégicos que abordan problemas fundamentales en la gestión cultural y el desarrollo urbano:</w:t>
      </w:r>
    </w:p>
    <w:p w14:paraId="53C699A3" w14:textId="77777777" w:rsidR="00A737B1" w:rsidRPr="00AE7067" w:rsidRDefault="00A737B1" w:rsidP="00A7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Segoe UI Emoji" w:eastAsia="Times New Roman" w:hAnsi="Segoe UI Emoji" w:cs="Segoe UI Emoji"/>
          <w:b/>
          <w:bCs/>
          <w:sz w:val="24"/>
          <w:szCs w:val="24"/>
        </w:rPr>
        <w:t>🌿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Contra el Desconocimiento: La Crisis del "Paisaje Invisible"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La falta de investigación etnográfica y cuantitativa profunda provoca un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desconocimiento operativo del paisaje cultural y subcultural vivo de ABC CITY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. Esto resulta en políticas de "talla única" que ignoran la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diversidad endógena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, malgastando recursos y provocando la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"ceguera de periferia"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>, pues no se atienden las necesidades reales de la población.</w:t>
      </w:r>
    </w:p>
    <w:p w14:paraId="0500DC0F" w14:textId="77777777" w:rsidR="00A737B1" w:rsidRPr="00AE7067" w:rsidRDefault="00A737B1" w:rsidP="00A7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Contra el Sesgo: La Trampa de la "Burbuja Meritocrática"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El estudio actúa como un antídoto contra el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sesgo cognitivo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de la élite cultural, cuyos criterios de valor (a menudo eurocéntricos o centralistas) pueden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distorsionar o invalidar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las prácticas y estéticas populares. Al asegurar que las "voces de la raíz y la rama" se conviertan en datos validados, se mitigan los riesgos presupuestarios y se asegura la legitimidad institucional.</w:t>
      </w:r>
    </w:p>
    <w:p w14:paraId="0D06D6C3" w14:textId="77777777" w:rsidR="00A737B1" w:rsidRPr="00AE7067" w:rsidRDefault="00A737B1" w:rsidP="00A7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Segoe UI Emoji" w:eastAsia="Times New Roman" w:hAnsi="Segoe UI Emoji" w:cs="Segoe UI Emoji"/>
          <w:b/>
          <w:bCs/>
          <w:sz w:val="24"/>
          <w:szCs w:val="24"/>
        </w:rPr>
        <w:t>🚀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Contra el Estancamiento: El Catalizador de la Innovación y la Competitividad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La ausencia de un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Sistema de Monitoreo y Seguimiento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basado en datos (el 'metabolismo del árbol') condena a la ciudad a la obsolescencia. Invertir en esta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Inteligencia Cultural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permite identificar </w:t>
      </w:r>
      <w:r w:rsidRPr="00AE70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ideas semillas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innovadoras latentes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que, si son irrigadas, pueden transformarse en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bienes y servicios de alto valor agregado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>, dotando a ABC CITY de una ventaja competitiva en el contexto geopolítico.</w:t>
      </w:r>
    </w:p>
    <w:p w14:paraId="0C0C2732" w14:textId="3EE9B280" w:rsidR="00A737B1" w:rsidRDefault="00A737B1"/>
    <w:p w14:paraId="72692A0F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067">
        <w:rPr>
          <w:rFonts w:ascii="Times New Roman" w:eastAsia="Times New Roman" w:hAnsi="Times New Roman" w:cs="Times New Roman"/>
          <w:b/>
          <w:bCs/>
          <w:sz w:val="27"/>
          <w:szCs w:val="27"/>
        </w:rPr>
        <w:t>II. Objetivos de la Investigación (La Meta de Cultivo)</w:t>
      </w:r>
    </w:p>
    <w:p w14:paraId="477F803A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A. Objetivo General</w:t>
      </w:r>
    </w:p>
    <w:p w14:paraId="016717CD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Analizar y diagnosticar el Metabolismo Cultural de ABC CITY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a través de la operacionalización de la metáfora del Árbol, generando un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Mapa de la Salud Ecosistémica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que identifique la relación, flujo y eficiencia entre los elementos estructurales (Raíces, Tronco, Ramas) para informar la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Planificación Estratégica Cultural 2026-2030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8C812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B. Objetivos Específicos (Los Tres Principales)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248"/>
        <w:gridCol w:w="6575"/>
      </w:tblGrid>
      <w:tr w:rsidR="00A737B1" w:rsidRPr="00AE7067" w14:paraId="52793BD2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4803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Objeto de Estudio</w:t>
            </w:r>
          </w:p>
        </w:tc>
        <w:tc>
          <w:tcPr>
            <w:tcW w:w="0" w:type="auto"/>
            <w:vAlign w:val="center"/>
            <w:hideMark/>
          </w:tcPr>
          <w:p w14:paraId="7F0768A3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Elemento del Árbol</w:t>
            </w:r>
          </w:p>
        </w:tc>
        <w:tc>
          <w:tcPr>
            <w:tcW w:w="0" w:type="auto"/>
            <w:vAlign w:val="center"/>
            <w:hideMark/>
          </w:tcPr>
          <w:p w14:paraId="5A463557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Meta Específica</w:t>
            </w:r>
          </w:p>
        </w:tc>
      </w:tr>
      <w:tr w:rsidR="00A737B1" w:rsidRPr="00AE7067" w14:paraId="3E2B68E5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D2BD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Objetivo Etnográfico</w:t>
            </w:r>
          </w:p>
        </w:tc>
        <w:tc>
          <w:tcPr>
            <w:tcW w:w="0" w:type="auto"/>
            <w:vAlign w:val="center"/>
            <w:hideMark/>
          </w:tcPr>
          <w:p w14:paraId="57B96244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 Raíz</w:t>
            </w:r>
          </w:p>
        </w:tc>
        <w:tc>
          <w:tcPr>
            <w:tcW w:w="0" w:type="auto"/>
            <w:vAlign w:val="center"/>
            <w:hideMark/>
          </w:tcPr>
          <w:p w14:paraId="7DFBC116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Identificar y categorizar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etnográficamente los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valores culturales pivotantes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los mitos fundacionales y los conflictos de memoria 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histórica de ABC CITY, contrastando la narrativa oficial con la oral, para establecer el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Nivel de Arraigo Identitario (NIA)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737B1" w:rsidRPr="00AE7067" w14:paraId="31214152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F56E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2. Objetivo de Gestión</w:t>
            </w:r>
          </w:p>
        </w:tc>
        <w:tc>
          <w:tcPr>
            <w:tcW w:w="0" w:type="auto"/>
            <w:vAlign w:val="center"/>
            <w:hideMark/>
          </w:tcPr>
          <w:p w14:paraId="6FCB4770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 Tronco</w:t>
            </w:r>
          </w:p>
        </w:tc>
        <w:tc>
          <w:tcPr>
            <w:tcW w:w="0" w:type="auto"/>
            <w:vAlign w:val="center"/>
            <w:hideMark/>
          </w:tcPr>
          <w:p w14:paraId="648082A8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Evaluar y cuantificar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eficiencia y transparencia de los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procesos de gestión cultural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(financiamiento, convocatorias) a través de revisión documental y casos de estudio, determinando el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Índice de Burocracia y Flujo de Recursos (BFR)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737B1" w:rsidRPr="00AE7067" w14:paraId="38B909F9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BBE8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Objetivo Sociológico</w:t>
            </w:r>
          </w:p>
        </w:tc>
        <w:tc>
          <w:tcPr>
            <w:tcW w:w="0" w:type="auto"/>
            <w:vAlign w:val="center"/>
            <w:hideMark/>
          </w:tcPr>
          <w:p w14:paraId="4CDC9A4F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Ramas y Frutos</w:t>
            </w:r>
          </w:p>
        </w:tc>
        <w:tc>
          <w:tcPr>
            <w:tcW w:w="0" w:type="auto"/>
            <w:vAlign w:val="center"/>
            <w:hideMark/>
          </w:tcPr>
          <w:p w14:paraId="4618992C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Mapear y caracterizar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diversidad de la producción cultural y subcultural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el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patrón de consumo ciudadano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mediante encuestas y análisis de redes, para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cuantificar el valor socioeconómico actual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los 'Frutos Armónicos' generados por la ciudad.</w:t>
            </w:r>
          </w:p>
        </w:tc>
      </w:tr>
    </w:tbl>
    <w:p w14:paraId="2671AF92" w14:textId="77777777" w:rsidR="00A737B1" w:rsidRDefault="00A737B1"/>
    <w:p w14:paraId="761FC7E1" w14:textId="3C43FAC6" w:rsidR="00A737B1" w:rsidRDefault="00A737B1"/>
    <w:p w14:paraId="16F85779" w14:textId="77777777" w:rsidR="00A737B1" w:rsidRDefault="00A737B1"/>
    <w:p w14:paraId="00000003" w14:textId="77777777" w:rsidR="005C28CF" w:rsidRDefault="005C28CF"/>
    <w:p w14:paraId="00000004" w14:textId="3F873FD8" w:rsidR="005C28CF" w:rsidRDefault="004F33C5">
      <w:proofErr w:type="gramStart"/>
      <w:r>
        <w:t xml:space="preserve">Qué </w:t>
      </w:r>
      <w:r w:rsidR="00A737B1">
        <w:t>Es DIACUA VIVA</w:t>
      </w:r>
      <w:r>
        <w:t>?</w:t>
      </w:r>
      <w:proofErr w:type="gramEnd"/>
    </w:p>
    <w:p w14:paraId="00000005" w14:textId="77777777" w:rsidR="005C28CF" w:rsidRDefault="00A737B1">
      <w:r>
        <w:t xml:space="preserve">Proyecto de investigación, monitoreo, análisis y formulación de propuestas con enfoque de </w:t>
      </w:r>
      <w:proofErr w:type="gramStart"/>
      <w:r>
        <w:t>arraigo  identidad</w:t>
      </w:r>
      <w:proofErr w:type="gramEnd"/>
      <w:r>
        <w:t xml:space="preserve"> ancestral territorial para gestar núcleos de trabajo y plataforma de sostenibilidad cultural en Villavicencio. </w:t>
      </w:r>
    </w:p>
    <w:p w14:paraId="00000006" w14:textId="77777777" w:rsidR="005C28CF" w:rsidRDefault="005C28CF"/>
    <w:p w14:paraId="00000007" w14:textId="77777777" w:rsidR="005C28CF" w:rsidRDefault="00A737B1">
      <w:r>
        <w:t xml:space="preserve">QUÉ HACE: </w:t>
      </w:r>
    </w:p>
    <w:p w14:paraId="00000008" w14:textId="77777777" w:rsidR="005C28CF" w:rsidRDefault="00A737B1">
      <w:r>
        <w:t>INTEGRAR saberes, neces</w:t>
      </w:r>
      <w:r>
        <w:t xml:space="preserve">idades y recursos hacia la contribución de la cultura de Villavicencio. </w:t>
      </w:r>
    </w:p>
    <w:p w14:paraId="00000009" w14:textId="77777777" w:rsidR="005C28CF" w:rsidRDefault="005C28CF"/>
    <w:p w14:paraId="0000000A" w14:textId="77777777" w:rsidR="005C28CF" w:rsidRDefault="00A737B1">
      <w:proofErr w:type="gramStart"/>
      <w:r>
        <w:t>Qué busca?</w:t>
      </w:r>
      <w:proofErr w:type="gramEnd"/>
    </w:p>
    <w:p w14:paraId="0000000B" w14:textId="77777777" w:rsidR="005C28CF" w:rsidRDefault="005C28CF"/>
    <w:p w14:paraId="0000000C" w14:textId="77777777" w:rsidR="005C28CF" w:rsidRDefault="00A737B1">
      <w:r>
        <w:t xml:space="preserve">Consolidar la expansión de la identidad cultural de Villavicencio y su territorio a nivel local, regional, nacional en internacional. </w:t>
      </w:r>
    </w:p>
    <w:p w14:paraId="0000000D" w14:textId="77777777" w:rsidR="005C28CF" w:rsidRDefault="005C28CF"/>
    <w:p w14:paraId="0000000E" w14:textId="77777777" w:rsidR="005C28CF" w:rsidRDefault="005C28CF"/>
    <w:p w14:paraId="0000000F" w14:textId="77777777" w:rsidR="005C28CF" w:rsidRDefault="00A737B1">
      <w:r>
        <w:t>Cómo:</w:t>
      </w:r>
    </w:p>
    <w:p w14:paraId="00000010" w14:textId="77777777" w:rsidR="005C28CF" w:rsidRDefault="00A737B1">
      <w:r>
        <w:t>Mediante programas, propues</w:t>
      </w:r>
      <w:r>
        <w:t xml:space="preserve">tas, proyectos y dispositivos culturales con un estilo de liderazgo basado en la transparencia y el cumplimiento, dentro del rango de acción y con responsabilidad socio cultural. </w:t>
      </w:r>
    </w:p>
    <w:p w14:paraId="00000011" w14:textId="77777777" w:rsidR="005C28CF" w:rsidRDefault="005C28CF"/>
    <w:p w14:paraId="00000012" w14:textId="77777777" w:rsidR="005C28CF" w:rsidRDefault="00A737B1">
      <w:proofErr w:type="gramStart"/>
      <w:r>
        <w:t>Cuándo?</w:t>
      </w:r>
      <w:proofErr w:type="gramEnd"/>
    </w:p>
    <w:p w14:paraId="00000013" w14:textId="77777777" w:rsidR="005C28CF" w:rsidRDefault="00A737B1">
      <w:r>
        <w:t>Cuando los equipos humanos, técnicos, financieros y locativos se di</w:t>
      </w:r>
      <w:r>
        <w:t xml:space="preserve">spongan como un núcleo de base para el despliegue de propuestas y dispositivos culturales Con cronograma. </w:t>
      </w:r>
    </w:p>
    <w:p w14:paraId="00000014" w14:textId="77777777" w:rsidR="005C28CF" w:rsidRDefault="005C28CF"/>
    <w:p w14:paraId="00000015" w14:textId="77777777" w:rsidR="005C28CF" w:rsidRDefault="00A737B1">
      <w:proofErr w:type="gramStart"/>
      <w:r>
        <w:t>Quiénes?</w:t>
      </w:r>
      <w:proofErr w:type="gramEnd"/>
    </w:p>
    <w:p w14:paraId="00000016" w14:textId="77777777" w:rsidR="005C28CF" w:rsidRDefault="00A737B1">
      <w:r>
        <w:t xml:space="preserve">Gestores </w:t>
      </w:r>
    </w:p>
    <w:p w14:paraId="00000017" w14:textId="77777777" w:rsidR="005C28CF" w:rsidRDefault="00A737B1">
      <w:r>
        <w:t>Todo artista, gestor y agente cultural que comparta la visión, compromiso y actividades hacia el logro de los proyectos y disposi</w:t>
      </w:r>
      <w:r>
        <w:t xml:space="preserve">tivos culturales gestados en DIACUA VIVA </w:t>
      </w:r>
    </w:p>
    <w:p w14:paraId="00000018" w14:textId="77777777" w:rsidR="005C28CF" w:rsidRDefault="005C28CF"/>
    <w:p w14:paraId="00000019" w14:textId="77777777" w:rsidR="005C28CF" w:rsidRDefault="00A737B1">
      <w:r>
        <w:lastRenderedPageBreak/>
        <w:t xml:space="preserve">Patrocinadores. Empresas, banca y Estado </w:t>
      </w:r>
    </w:p>
    <w:p w14:paraId="0000001A" w14:textId="77777777" w:rsidR="005C28CF" w:rsidRDefault="005C28CF"/>
    <w:p w14:paraId="0000001B" w14:textId="77777777" w:rsidR="005C28CF" w:rsidRDefault="00A737B1">
      <w:r>
        <w:t xml:space="preserve">Voluntariados. Colectivos culturales, centros educativos, academias, turistas </w:t>
      </w:r>
    </w:p>
    <w:p w14:paraId="0000001C" w14:textId="77777777" w:rsidR="005C28CF" w:rsidRDefault="005C28CF"/>
    <w:p w14:paraId="0000001D" w14:textId="77777777" w:rsidR="005C28CF" w:rsidRDefault="00A737B1">
      <w:r>
        <w:t xml:space="preserve">Aliados estratégicos. </w:t>
      </w:r>
      <w:proofErr w:type="spellStart"/>
      <w:r>
        <w:t>ONGs</w:t>
      </w:r>
      <w:proofErr w:type="spellEnd"/>
      <w:r>
        <w:t xml:space="preserve">, y entidades con y sin ánimo de lucro </w:t>
      </w:r>
    </w:p>
    <w:p w14:paraId="0000001E" w14:textId="77777777" w:rsidR="005C28CF" w:rsidRDefault="005C28CF"/>
    <w:p w14:paraId="0000001F" w14:textId="77777777" w:rsidR="005C28CF" w:rsidRDefault="00A737B1">
      <w:proofErr w:type="gramStart"/>
      <w:r>
        <w:t>Dónde?</w:t>
      </w:r>
      <w:proofErr w:type="gramEnd"/>
    </w:p>
    <w:p w14:paraId="00000020" w14:textId="77777777" w:rsidR="005C28CF" w:rsidRDefault="005C28CF"/>
    <w:p w14:paraId="00000021" w14:textId="42A920A1" w:rsidR="005C28CF" w:rsidRDefault="00A737B1">
      <w:r>
        <w:t>En los escenarios que dicten los proyectos y dispositivos culturales.</w:t>
      </w:r>
    </w:p>
    <w:p w14:paraId="6D558E30" w14:textId="063CAF24" w:rsidR="00A737B1" w:rsidRDefault="00A737B1"/>
    <w:p w14:paraId="6117BA8A" w14:textId="665C1E64" w:rsidR="00A737B1" w:rsidRDefault="00A737B1"/>
    <w:p w14:paraId="7706CF7F" w14:textId="5B532DED" w:rsidR="00A737B1" w:rsidRDefault="00A737B1"/>
    <w:p w14:paraId="2115C16E" w14:textId="5AAA54C1" w:rsidR="00A737B1" w:rsidRDefault="00A737B1"/>
    <w:p w14:paraId="48112AAD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067">
        <w:rPr>
          <w:rFonts w:ascii="Times New Roman" w:eastAsia="Times New Roman" w:hAnsi="Times New Roman" w:cs="Times New Roman"/>
          <w:b/>
          <w:bCs/>
          <w:sz w:val="27"/>
          <w:szCs w:val="27"/>
        </w:rPr>
        <w:t>III. Metodología y Proceso de Investigación</w:t>
      </w:r>
    </w:p>
    <w:p w14:paraId="559F004B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El diseño de campo es una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Metodología Mixta (Cualitativa y Cuantitativa)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que divide la ciudad en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Zonas Agro-Culturales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B2818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1. Grupos de Trabajo de Campo (Agentes de Interés)</w:t>
      </w:r>
    </w:p>
    <w:p w14:paraId="259DFB4F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Para una ciudad de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800.000 habitantes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>, se identifican cuatro grupos clave que representan la biota del ecosistema cultural: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4067"/>
        <w:gridCol w:w="3536"/>
      </w:tblGrid>
      <w:tr w:rsidR="00A737B1" w:rsidRPr="00AE7067" w14:paraId="29C5D023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D054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 en el Ecosistema</w:t>
            </w:r>
          </w:p>
        </w:tc>
        <w:tc>
          <w:tcPr>
            <w:tcW w:w="0" w:type="auto"/>
            <w:vAlign w:val="center"/>
            <w:hideMark/>
          </w:tcPr>
          <w:p w14:paraId="0B4AFD10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Quiénes (Muestra)</w:t>
            </w:r>
          </w:p>
        </w:tc>
        <w:tc>
          <w:tcPr>
            <w:tcW w:w="0" w:type="auto"/>
            <w:vAlign w:val="center"/>
            <w:hideMark/>
          </w:tcPr>
          <w:p w14:paraId="56DAFA6B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Objetivo en la Recolección</w:t>
            </w:r>
          </w:p>
        </w:tc>
      </w:tr>
      <w:tr w:rsidR="00A737B1" w:rsidRPr="00AE7067" w14:paraId="4225FA56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8C75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Guardianes de la Raíz</w:t>
            </w:r>
          </w:p>
        </w:tc>
        <w:tc>
          <w:tcPr>
            <w:tcW w:w="0" w:type="auto"/>
            <w:vAlign w:val="center"/>
            <w:hideMark/>
          </w:tcPr>
          <w:p w14:paraId="22EF31C2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Historiadores locales, ancianos fundadores, custodios del patrimonio.</w:t>
            </w:r>
          </w:p>
        </w:tc>
        <w:tc>
          <w:tcPr>
            <w:tcW w:w="0" w:type="auto"/>
            <w:vAlign w:val="center"/>
            <w:hideMark/>
          </w:tcPr>
          <w:p w14:paraId="4D549D5E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Entender el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arraigo, el </w:t>
            </w:r>
            <w:proofErr w:type="spellStart"/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Habitus</w:t>
            </w:r>
            <w:proofErr w:type="spellEnd"/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los valores fundacionales.</w:t>
            </w:r>
          </w:p>
        </w:tc>
      </w:tr>
      <w:tr w:rsidR="00A737B1" w:rsidRPr="00AE7067" w14:paraId="35F184E4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9141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 Jardineros</w:t>
            </w:r>
          </w:p>
        </w:tc>
        <w:tc>
          <w:tcPr>
            <w:tcW w:w="0" w:type="auto"/>
            <w:vAlign w:val="center"/>
            <w:hideMark/>
          </w:tcPr>
          <w:p w14:paraId="452E468D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Secretaría de Cultura, funcionarios de planeación, directores de museos.</w:t>
            </w:r>
          </w:p>
        </w:tc>
        <w:tc>
          <w:tcPr>
            <w:tcW w:w="0" w:type="auto"/>
            <w:vAlign w:val="center"/>
            <w:hideMark/>
          </w:tcPr>
          <w:p w14:paraId="1B556432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Evaluar la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gestión, el presupuesto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la burocracia.</w:t>
            </w:r>
          </w:p>
        </w:tc>
      </w:tr>
      <w:tr w:rsidR="00A737B1" w:rsidRPr="00AE7067" w14:paraId="7B7EFBE5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F78C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 Polinizadores</w:t>
            </w:r>
          </w:p>
        </w:tc>
        <w:tc>
          <w:tcPr>
            <w:tcW w:w="0" w:type="auto"/>
            <w:vAlign w:val="center"/>
            <w:hideMark/>
          </w:tcPr>
          <w:p w14:paraId="1ABC6BBC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Artistas, gestores culturales independientes, colectivos juveniles, organizadores de festivales.</w:t>
            </w:r>
          </w:p>
        </w:tc>
        <w:tc>
          <w:tcPr>
            <w:tcW w:w="0" w:type="auto"/>
            <w:vAlign w:val="center"/>
            <w:hideMark/>
          </w:tcPr>
          <w:p w14:paraId="497DD5C6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Medir la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producción, creatividad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la resiliencia económica.</w:t>
            </w:r>
          </w:p>
        </w:tc>
      </w:tr>
      <w:tr w:rsidR="00A737B1" w:rsidRPr="00AE7067" w14:paraId="021536BE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80C5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 Fauna Simbiótica</w:t>
            </w:r>
          </w:p>
        </w:tc>
        <w:tc>
          <w:tcPr>
            <w:tcW w:w="0" w:type="auto"/>
            <w:vAlign w:val="center"/>
            <w:hideMark/>
          </w:tcPr>
          <w:p w14:paraId="7C62D3B7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Ciudadanía de a pie, estudiantes, audiencias (consumidores).</w:t>
            </w:r>
          </w:p>
        </w:tc>
        <w:tc>
          <w:tcPr>
            <w:tcW w:w="0" w:type="auto"/>
            <w:vAlign w:val="center"/>
            <w:hideMark/>
          </w:tcPr>
          <w:p w14:paraId="7660FEA0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Medir el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consumo cultural, la identidad percibida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el "oxígeno" (bienestar).</w:t>
            </w:r>
          </w:p>
        </w:tc>
      </w:tr>
    </w:tbl>
    <w:p w14:paraId="53824801" w14:textId="427C9B31" w:rsidR="00A737B1" w:rsidRDefault="00A737B1"/>
    <w:p w14:paraId="415A886F" w14:textId="4930D7CD" w:rsidR="00A737B1" w:rsidRDefault="00A737B1"/>
    <w:p w14:paraId="5CD0CEF6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2. Variables a Medir e Instrumentos de Medición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526"/>
        <w:gridCol w:w="3525"/>
      </w:tblGrid>
      <w:tr w:rsidR="00A737B1" w:rsidRPr="00AE7067" w14:paraId="5F41668A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AB1A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 / Categoría de Análisis</w:t>
            </w:r>
          </w:p>
        </w:tc>
        <w:tc>
          <w:tcPr>
            <w:tcW w:w="0" w:type="auto"/>
            <w:vAlign w:val="center"/>
            <w:hideMark/>
          </w:tcPr>
          <w:p w14:paraId="1BD0E854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Indicador Clave (Métrica)</w:t>
            </w:r>
          </w:p>
        </w:tc>
        <w:tc>
          <w:tcPr>
            <w:tcW w:w="0" w:type="auto"/>
            <w:vAlign w:val="center"/>
            <w:hideMark/>
          </w:tcPr>
          <w:p w14:paraId="386D96DD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Instrumento de Medición</w:t>
            </w:r>
          </w:p>
        </w:tc>
      </w:tr>
      <w:tr w:rsidR="00A737B1" w:rsidRPr="00AE7067" w14:paraId="2CA081F2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9632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Raíces (Identidad y Memoria)</w:t>
            </w:r>
          </w:p>
        </w:tc>
        <w:tc>
          <w:tcPr>
            <w:tcW w:w="0" w:type="auto"/>
            <w:vAlign w:val="center"/>
            <w:hideMark/>
          </w:tcPr>
          <w:p w14:paraId="1D19E2BE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Nivel de Arraigo Identitario (NIA)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; Salud Radicular (SR - conflictos no resueltos); Grado de orgullo y pertenencia.</w:t>
            </w:r>
          </w:p>
        </w:tc>
        <w:tc>
          <w:tcPr>
            <w:tcW w:w="0" w:type="auto"/>
            <w:vAlign w:val="center"/>
            <w:hideMark/>
          </w:tcPr>
          <w:p w14:paraId="051C6021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Etnografía y Grupos Focales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(Pregunta Semilla de Raíces: valores y dolor histórico).</w:t>
            </w:r>
          </w:p>
        </w:tc>
      </w:tr>
      <w:tr w:rsidR="00A737B1" w:rsidRPr="00AE7067" w14:paraId="7FEC9B81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DDFC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Tronco (Gestión e Institucionalidad)</w:t>
            </w:r>
          </w:p>
        </w:tc>
        <w:tc>
          <w:tcPr>
            <w:tcW w:w="0" w:type="auto"/>
            <w:vAlign w:val="center"/>
            <w:hideMark/>
          </w:tcPr>
          <w:p w14:paraId="0A41C173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Índice de Burocracia y Flujo de Recursos (BFR)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; Tiempos de respuesta administrativa.</w:t>
            </w:r>
          </w:p>
        </w:tc>
        <w:tc>
          <w:tcPr>
            <w:tcW w:w="0" w:type="auto"/>
            <w:vAlign w:val="center"/>
            <w:hideMark/>
          </w:tcPr>
          <w:p w14:paraId="17A71566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Auditoría de Procesos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Entrevistas a Funcionarios y Polinizadores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(Pregunta Semilla de Tronco: flujo institucional).</w:t>
            </w:r>
          </w:p>
        </w:tc>
      </w:tr>
      <w:tr w:rsidR="00A737B1" w:rsidRPr="00AE7067" w14:paraId="343255A8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9F92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Agua (Participación y Flujo)</w:t>
            </w:r>
          </w:p>
        </w:tc>
        <w:tc>
          <w:tcPr>
            <w:tcW w:w="0" w:type="auto"/>
            <w:vAlign w:val="center"/>
            <w:hideMark/>
          </w:tcPr>
          <w:p w14:paraId="05F479B0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Nivel de Turbidez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(transparencia);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Caudal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(frecuencia de reuniones); Irrigación (descentralización).</w:t>
            </w:r>
          </w:p>
        </w:tc>
        <w:tc>
          <w:tcPr>
            <w:tcW w:w="0" w:type="auto"/>
            <w:vAlign w:val="center"/>
            <w:hideMark/>
          </w:tcPr>
          <w:p w14:paraId="0EECF9A8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Revisión Documental Forense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(Planes de Desarrollo) y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Cartografía Social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(mapeo de descentralización).</w:t>
            </w:r>
          </w:p>
        </w:tc>
      </w:tr>
      <w:tr w:rsidR="00A737B1" w:rsidRPr="00AE7067" w14:paraId="2C551A92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EDA5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Ramas y Frutos (Producción y Consumo)</w:t>
            </w:r>
          </w:p>
        </w:tc>
        <w:tc>
          <w:tcPr>
            <w:tcW w:w="0" w:type="auto"/>
            <w:vAlign w:val="center"/>
            <w:hideMark/>
          </w:tcPr>
          <w:p w14:paraId="2D057DBA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Diversidad de la Producción (DP)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Tasa de Consumo Cultural (TCC)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B5178B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Encuesta de Consumo y Prácticas Culturales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(Muestra estratificada: ~1,065 encuestas).</w:t>
            </w:r>
          </w:p>
        </w:tc>
      </w:tr>
    </w:tbl>
    <w:p w14:paraId="57E91C2B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3. Proceso de Investigación y Cronograma</w:t>
      </w:r>
    </w:p>
    <w:p w14:paraId="24EA8240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Se establece un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Plan Semestral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(6 meses) para la investigación.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020"/>
        <w:gridCol w:w="5998"/>
      </w:tblGrid>
      <w:tr w:rsidR="00A737B1" w:rsidRPr="00AE7067" w14:paraId="0E09752C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A8EA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2C406C7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1544DE1B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Principales</w:t>
            </w:r>
          </w:p>
        </w:tc>
      </w:tr>
      <w:tr w:rsidR="00A737B1" w:rsidRPr="00AE7067" w14:paraId="0092B887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D7C7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Preparación del Terreno</w:t>
            </w:r>
          </w:p>
        </w:tc>
        <w:tc>
          <w:tcPr>
            <w:tcW w:w="0" w:type="auto"/>
            <w:vAlign w:val="center"/>
            <w:hideMark/>
          </w:tcPr>
          <w:p w14:paraId="1BC2A903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Mes 1</w:t>
            </w:r>
          </w:p>
        </w:tc>
        <w:tc>
          <w:tcPr>
            <w:tcW w:w="0" w:type="auto"/>
            <w:vAlign w:val="center"/>
            <w:hideMark/>
          </w:tcPr>
          <w:p w14:paraId="15DAA904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Diseño de encuestas, conformación del equipo de investigadores, mapeo de actores, capacitación del colectivo de base.</w:t>
            </w:r>
          </w:p>
        </w:tc>
      </w:tr>
      <w:tr w:rsidR="00A737B1" w:rsidRPr="00AE7067" w14:paraId="6B719895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BDC1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La Cosecha (Campo)</w:t>
            </w:r>
          </w:p>
        </w:tc>
        <w:tc>
          <w:tcPr>
            <w:tcW w:w="0" w:type="auto"/>
            <w:vAlign w:val="center"/>
            <w:hideMark/>
          </w:tcPr>
          <w:p w14:paraId="65255D1E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Mes 2-3</w:t>
            </w:r>
          </w:p>
        </w:tc>
        <w:tc>
          <w:tcPr>
            <w:tcW w:w="0" w:type="auto"/>
            <w:vAlign w:val="center"/>
            <w:hideMark/>
          </w:tcPr>
          <w:p w14:paraId="65724297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Despliegue de encuestadores (1000+), realización de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 grupos focales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, 20 entrevistas a profundidad, cartografía social.</w:t>
            </w:r>
          </w:p>
        </w:tc>
      </w:tr>
      <w:tr w:rsidR="00A737B1" w:rsidRPr="00AE7067" w14:paraId="72647587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8463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Laboratorio (Procesamiento)</w:t>
            </w:r>
          </w:p>
        </w:tc>
        <w:tc>
          <w:tcPr>
            <w:tcW w:w="0" w:type="auto"/>
            <w:vAlign w:val="center"/>
            <w:hideMark/>
          </w:tcPr>
          <w:p w14:paraId="559EB855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Mes 4</w:t>
            </w:r>
          </w:p>
        </w:tc>
        <w:tc>
          <w:tcPr>
            <w:tcW w:w="0" w:type="auto"/>
            <w:vAlign w:val="center"/>
            <w:hideMark/>
          </w:tcPr>
          <w:p w14:paraId="45128426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Digitación de datos, transcripción de entrevistas, sistematización de mapas y datos.</w:t>
            </w:r>
          </w:p>
        </w:tc>
      </w:tr>
      <w:tr w:rsidR="00A737B1" w:rsidRPr="00AE7067" w14:paraId="2250BE7C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A013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Análisis Clínico</w:t>
            </w:r>
          </w:p>
        </w:tc>
        <w:tc>
          <w:tcPr>
            <w:tcW w:w="0" w:type="auto"/>
            <w:vAlign w:val="center"/>
            <w:hideMark/>
          </w:tcPr>
          <w:p w14:paraId="26F2BF43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Mes 5</w:t>
            </w:r>
          </w:p>
        </w:tc>
        <w:tc>
          <w:tcPr>
            <w:tcW w:w="0" w:type="auto"/>
            <w:vAlign w:val="center"/>
            <w:hideMark/>
          </w:tcPr>
          <w:p w14:paraId="49A03652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Triangulación de Datos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(cruzar narrativas del Gobierno, Artistas y Ciudadanos); Análisis FODA Cultural; Redacción del diagnóstico.</w:t>
            </w:r>
          </w:p>
        </w:tc>
      </w:tr>
      <w:tr w:rsidR="00A737B1" w:rsidRPr="00AE7067" w14:paraId="2866D4A5" w14:textId="77777777" w:rsidTr="005C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5498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Formulación de Fertilizantes</w:t>
            </w:r>
          </w:p>
        </w:tc>
        <w:tc>
          <w:tcPr>
            <w:tcW w:w="0" w:type="auto"/>
            <w:vAlign w:val="center"/>
            <w:hideMark/>
          </w:tcPr>
          <w:p w14:paraId="6AC211E0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>Mes 6</w:t>
            </w:r>
          </w:p>
        </w:tc>
        <w:tc>
          <w:tcPr>
            <w:tcW w:w="0" w:type="auto"/>
            <w:vAlign w:val="center"/>
            <w:hideMark/>
          </w:tcPr>
          <w:p w14:paraId="3234A33B" w14:textId="77777777" w:rsidR="00A737B1" w:rsidRPr="00AE7067" w:rsidRDefault="00A737B1" w:rsidP="005C146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Diseño de estrategias de mejora (Nutrientes), redacción del informe final, </w:t>
            </w:r>
            <w:r w:rsidRPr="00AE7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 con la comunidad</w:t>
            </w:r>
            <w:r w:rsidRPr="00AE7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(Grupos de Formulación).</w:t>
            </w:r>
          </w:p>
        </w:tc>
      </w:tr>
    </w:tbl>
    <w:p w14:paraId="0BF878FD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4. Grupos de Análisis y Resultados</w:t>
      </w:r>
    </w:p>
    <w:p w14:paraId="56463A7B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Laboratorio de Análisis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(Fase 4) requiere un equipo mínimo (La Cuadrilla) para asegurar el rigor científico:</w:t>
      </w:r>
    </w:p>
    <w:p w14:paraId="5F3E5FD7" w14:textId="77777777" w:rsidR="00A737B1" w:rsidRPr="00AE7067" w:rsidRDefault="00A737B1" w:rsidP="00A7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Director Científico: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Visión holística.</w:t>
      </w:r>
    </w:p>
    <w:p w14:paraId="76EFAF2B" w14:textId="77777777" w:rsidR="00A737B1" w:rsidRPr="00AE7067" w:rsidRDefault="00A737B1" w:rsidP="00A7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1 Estadístico: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Para el análisis de datos cuantitativos y la formulación de índices (NIA, BFR, TCC).</w:t>
      </w:r>
    </w:p>
    <w:p w14:paraId="641FEC52" w14:textId="77777777" w:rsidR="00A737B1" w:rsidRPr="00AE7067" w:rsidRDefault="00A737B1" w:rsidP="00A7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 Antropólogos/Sociólogos Junior: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Para el análisis etnográfico y sociológico de las narrativas cualitativas, identificando patologías como el "Tronco oxidado".</w:t>
      </w:r>
    </w:p>
    <w:p w14:paraId="37B9EE9D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067">
        <w:rPr>
          <w:rFonts w:ascii="Times New Roman" w:eastAsia="Times New Roman" w:hAnsi="Times New Roman" w:cs="Times New Roman"/>
          <w:b/>
          <w:bCs/>
          <w:sz w:val="27"/>
          <w:szCs w:val="27"/>
        </w:rPr>
        <w:t>IV. Estructura de Resultados y Propuesta (Hoja de Resultados)</w:t>
      </w:r>
    </w:p>
    <w:p w14:paraId="7303DB4B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El informe final se presenta como la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"FÓRMULA ESTRATÉGICA ABC CITY"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0B96A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1. Ficha Clínica del Árbol (Diagnóstico)</w:t>
      </w:r>
    </w:p>
    <w:p w14:paraId="14D60A60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Esta sección resume el estado de salud, usando el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Semáforo de Indicadores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(Verde: saludable; Amarillo: alerta; Rojo: necrosis).</w:t>
      </w:r>
    </w:p>
    <w:p w14:paraId="7258C9E2" w14:textId="77777777" w:rsidR="00A737B1" w:rsidRPr="00AE7067" w:rsidRDefault="00A737B1" w:rsidP="00A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Diagnóstico de la Raíz: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Nivel de Arraigo Identitario (NIA) y Salud Radicular (SR). Ej.: NIA Alto, pero SR Baja (conflicto histórico no resuelto, ALERTA AMARILLA).</w:t>
      </w:r>
    </w:p>
    <w:p w14:paraId="5345C81B" w14:textId="77777777" w:rsidR="00A737B1" w:rsidRPr="00AE7067" w:rsidRDefault="00A737B1" w:rsidP="00A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Diagnóstico del Tronco: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Índice de Burocracia y Flujo de Recursos (BFR). Ej.: BFR 0.4/1.0 ("Tubería Llena de Óxido," RIESGO CRÍTICO).</w:t>
      </w:r>
    </w:p>
    <w:p w14:paraId="371A87F4" w14:textId="77777777" w:rsidR="00A737B1" w:rsidRPr="00AE7067" w:rsidRDefault="00A737B1" w:rsidP="00A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Diagnóstico de Ramas y Frutos: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Diversidad de la Producción (DP) y Tasa de Consumo Cultural (TCC). Ej.: DP Alta, pero TCC Media/Baja (POTENCIAL DESAPROVECHADO).</w:t>
      </w:r>
    </w:p>
    <w:p w14:paraId="0FDE74CF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2. FÓRMULACIÓN DEL ESPECIALISTA (Receta de Mejoras)</w:t>
      </w:r>
    </w:p>
    <w:p w14:paraId="6433E284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sz w:val="24"/>
          <w:szCs w:val="24"/>
        </w:rPr>
        <w:t>Se proponen estrategias específicas, ligadas a la patología detectada y a los objetivos iniciales:</w:t>
      </w:r>
    </w:p>
    <w:p w14:paraId="3585E06F" w14:textId="77777777" w:rsidR="00A737B1" w:rsidRPr="00AE7067" w:rsidRDefault="00A737B1" w:rsidP="00A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Terapia de Raíz: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Aplicación del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Magnesio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(Nutriente) mediante la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"Cátedra de Memoria Crítica ABC"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para procesar traumas históricos.</w:t>
      </w:r>
    </w:p>
    <w:p w14:paraId="6BFFCD2D" w14:textId="77777777" w:rsidR="00A737B1" w:rsidRPr="00AE7067" w:rsidRDefault="00A737B1" w:rsidP="00A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Desoxidación y Fortalecimiento del Tronco: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Aplicación de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Nitrógeno y Fósforo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(Nutrientes) mediante la inversión en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Transformación Digital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para garantizar pagos a 30 días y la instauración del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"Comité del Flujo Justo"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6F22CB" w14:textId="77777777" w:rsidR="00A737B1" w:rsidRPr="00AE7067" w:rsidRDefault="00A737B1" w:rsidP="00A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Riego Descentralizado: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Aplicación de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Agua Esencial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(Participación) mediante el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"Programa de Riego por Goteo Cultural"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y el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"Fondo Semilla para la Innovación Subcultural"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(Zinc y Boro) para financiar </w:t>
      </w:r>
      <w:proofErr w:type="spellStart"/>
      <w:r w:rsidRPr="00AE7067">
        <w:rPr>
          <w:rFonts w:ascii="Times New Roman" w:eastAsia="Times New Roman" w:hAnsi="Times New Roman" w:cs="Times New Roman"/>
          <w:sz w:val="24"/>
          <w:szCs w:val="24"/>
        </w:rPr>
        <w:t>microproyectos</w:t>
      </w:r>
      <w:proofErr w:type="spellEnd"/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en zonas de baja TCC.</w:t>
      </w:r>
    </w:p>
    <w:p w14:paraId="7596B1DD" w14:textId="77777777" w:rsidR="00A737B1" w:rsidRPr="00AE7067" w:rsidRDefault="00A737B1" w:rsidP="00A737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9E73E4">
          <v:rect id="_x0000_i1025" style="width:0;height:1.5pt" o:hralign="center" o:hrstd="t" o:hr="t" fillcolor="#a0a0a0" stroked="f"/>
        </w:pict>
      </w:r>
    </w:p>
    <w:p w14:paraId="31326F9C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067">
        <w:rPr>
          <w:rFonts w:ascii="Times New Roman" w:eastAsia="Times New Roman" w:hAnsi="Times New Roman" w:cs="Times New Roman"/>
          <w:b/>
          <w:bCs/>
          <w:sz w:val="27"/>
          <w:szCs w:val="27"/>
        </w:rPr>
        <w:t>V. Referentes y Fuentes de Información</w:t>
      </w:r>
    </w:p>
    <w:p w14:paraId="76F0851E" w14:textId="77777777" w:rsidR="00A737B1" w:rsidRPr="00AE7067" w:rsidRDefault="00A737B1" w:rsidP="00A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El proyecto se fundamenta en la teoría de la gestión cultural y la sociología profunda, asegurando un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 epistémico vivo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D3A644" w14:textId="40587A82" w:rsidR="00A737B1" w:rsidRDefault="00A737B1"/>
    <w:p w14:paraId="1CC5AD94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Referentes Teóricos y Conceptuales (Fuentes Citadas)</w:t>
      </w:r>
    </w:p>
    <w:p w14:paraId="66A0CD45" w14:textId="77777777" w:rsidR="00A737B1" w:rsidRPr="00AE7067" w:rsidRDefault="00A737B1" w:rsidP="00A7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Clifford Geertz: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Entendimiento de la cultura no como un objeto estático, sino como un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tejido de significados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EFCD59" w14:textId="77777777" w:rsidR="00A737B1" w:rsidRPr="00AE7067" w:rsidRDefault="00A737B1" w:rsidP="00A7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Pierre Bourdieu: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Uso del concepto de </w:t>
      </w:r>
      <w:proofErr w:type="spellStart"/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Habitus</w:t>
      </w:r>
      <w:proofErr w:type="spellEnd"/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para situar las "necesidades, creencias y valores" en las Raíces, entendiéndolos como disposiciones duraderas.</w:t>
      </w:r>
    </w:p>
    <w:p w14:paraId="27A59DC9" w14:textId="77777777" w:rsidR="00A737B1" w:rsidRPr="00AE7067" w:rsidRDefault="00A737B1" w:rsidP="00A7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Recomendación UNESCO: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Referencia para establecer un marco de comparación en el porcentaje del presupuesto destinado a Cultura.</w:t>
      </w:r>
    </w:p>
    <w:p w14:paraId="17A2E251" w14:textId="77777777" w:rsidR="00A737B1" w:rsidRPr="00AE7067" w:rsidRDefault="00A737B1" w:rsidP="00A7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Teoría de Sistemas/Agronomía Cultural: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La conceptualización de la cultura como un </w:t>
      </w: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ecosistema metabólico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que requiere Macronutrientes (N, P, K) y Micronutrientes (Hierro, Zinc, Magnesio) para asegurar crecimiento, energía, resistencia y diversidad.</w:t>
      </w:r>
    </w:p>
    <w:p w14:paraId="5ED0FD0A" w14:textId="77777777" w:rsidR="00A737B1" w:rsidRPr="00AE7067" w:rsidRDefault="00A737B1" w:rsidP="00A73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Fuentes de Información para la Investigación</w:t>
      </w:r>
    </w:p>
    <w:p w14:paraId="12884AA4" w14:textId="77777777" w:rsidR="00A737B1" w:rsidRPr="00AE7067" w:rsidRDefault="00A737B1" w:rsidP="00A73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Fuentes Primarias: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Encuestas de Consumo Ciudadano, Entrevistas a Profundidad (Jardineros/Tronco), Grupos Focales (Guardianes/Raíz y Polinizadores/Ramas).</w:t>
      </w:r>
    </w:p>
    <w:p w14:paraId="11A43F89" w14:textId="77777777" w:rsidR="00A737B1" w:rsidRPr="00AE7067" w:rsidRDefault="00A737B1" w:rsidP="00A73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067">
        <w:rPr>
          <w:rFonts w:ascii="Times New Roman" w:eastAsia="Times New Roman" w:hAnsi="Times New Roman" w:cs="Times New Roman"/>
          <w:b/>
          <w:bCs/>
          <w:sz w:val="24"/>
          <w:szCs w:val="24"/>
        </w:rPr>
        <w:t>Fuentes Secundarias/Documentales:</w:t>
      </w:r>
      <w:r w:rsidRPr="00AE7067">
        <w:rPr>
          <w:rFonts w:ascii="Times New Roman" w:eastAsia="Times New Roman" w:hAnsi="Times New Roman" w:cs="Times New Roman"/>
          <w:sz w:val="24"/>
          <w:szCs w:val="24"/>
        </w:rPr>
        <w:t xml:space="preserve"> Planes de Desarrollo de los últimos 10 años, archivos históricos para contrastar con la narrativa oral.</w:t>
      </w:r>
    </w:p>
    <w:p w14:paraId="1D6091CA" w14:textId="42970830" w:rsidR="00A737B1" w:rsidRDefault="00A737B1"/>
    <w:p w14:paraId="2BD803F8" w14:textId="77777777" w:rsidR="00A737B1" w:rsidRDefault="00A737B1" w:rsidP="00A737B1">
      <w:pPr>
        <w:pStyle w:val="Ttulo1"/>
      </w:pPr>
      <w:proofErr w:type="spellStart"/>
      <w:r>
        <w:t>Bibliogrfia</w:t>
      </w:r>
      <w:proofErr w:type="spellEnd"/>
    </w:p>
    <w:p w14:paraId="191CFCF7" w14:textId="77777777" w:rsidR="00A737B1" w:rsidRDefault="00A737B1" w:rsidP="00A737B1"/>
    <w:p w14:paraId="0821483B" w14:textId="77777777" w:rsidR="00A737B1" w:rsidRPr="00AE7067" w:rsidRDefault="00A737B1" w:rsidP="00A737B1">
      <w:r w:rsidRPr="00AE7067">
        <w:t xml:space="preserve">El proyecto de investigación, al estar anclado en un </w:t>
      </w:r>
      <w:r w:rsidRPr="00AE7067">
        <w:rPr>
          <w:b/>
          <w:bCs/>
        </w:rPr>
        <w:t>constructo epistémico vivo</w:t>
      </w:r>
      <w:r w:rsidRPr="00AE7067">
        <w:t xml:space="preserve"> que opera como un </w:t>
      </w:r>
      <w:r w:rsidRPr="00AE7067">
        <w:rPr>
          <w:b/>
          <w:bCs/>
        </w:rPr>
        <w:t>ecosistema metabólico</w:t>
      </w:r>
      <w:r w:rsidRPr="00AE7067">
        <w:t>, requiere fuentes bibliográficas que sustenten las tres dimensiones de análisis: sociológica/antropológica (Raíces), de gestión pública (Tronco), y de economía/producción (Ramas y Frutos).</w:t>
      </w:r>
    </w:p>
    <w:p w14:paraId="7FDCB142" w14:textId="77777777" w:rsidR="00A737B1" w:rsidRPr="00AE7067" w:rsidRDefault="00A737B1" w:rsidP="00A737B1">
      <w:r w:rsidRPr="00AE7067">
        <w:t>A continuación, se sugieren fuentes bibliográficas que refuerzan la propuesta, más allá de las ya referenciadas en su modelo (Clifford Geertz, Pierre Bourdieu y la recomendación UNESCO), y que son esenciales para validar científicamente los indicadores propuestos (como el Índice de Burocracia y Flujo de Recursos, BFR, o el Nivel de Arraigo Identitario, NIA).</w:t>
      </w:r>
    </w:p>
    <w:p w14:paraId="50892929" w14:textId="77777777" w:rsidR="00A737B1" w:rsidRPr="00AE7067" w:rsidRDefault="00A737B1" w:rsidP="00A737B1">
      <w:r w:rsidRPr="00AE7067">
        <w:rPr>
          <w:b/>
          <w:bCs/>
        </w:rPr>
        <w:t>Nota Importante:</w:t>
      </w:r>
      <w:r w:rsidRPr="00AE7067">
        <w:t xml:space="preserve"> Las siguientes sugerencias no provienen de los documentos adjuntos, sino que son referencias académicas necesarias para apoyar una propuesta de investigación de esta naturaleza, y se basan en los conceptos centrales descritos en el proyecto. Es recomendable verificarlas de forma independiente.</w:t>
      </w:r>
    </w:p>
    <w:p w14:paraId="38FCF139" w14:textId="77777777" w:rsidR="00A737B1" w:rsidRPr="00AE7067" w:rsidRDefault="00A737B1" w:rsidP="00A737B1">
      <w:pPr>
        <w:rPr>
          <w:b/>
          <w:bCs/>
        </w:rPr>
      </w:pPr>
      <w:r w:rsidRPr="00AE7067">
        <w:rPr>
          <w:b/>
          <w:bCs/>
        </w:rPr>
        <w:t xml:space="preserve">I. Fuentes para Sustentar la Dimensión de Raíces (Identidad, Memoria y </w:t>
      </w:r>
      <w:proofErr w:type="spellStart"/>
      <w:r w:rsidRPr="00AE7067">
        <w:rPr>
          <w:b/>
          <w:bCs/>
          <w:i/>
          <w:iCs/>
        </w:rPr>
        <w:t>Habitus</w:t>
      </w:r>
      <w:proofErr w:type="spellEnd"/>
      <w:r w:rsidRPr="00AE7067">
        <w:rPr>
          <w:b/>
          <w:bCs/>
        </w:rPr>
        <w:t>)</w:t>
      </w:r>
    </w:p>
    <w:p w14:paraId="5ABEDDB0" w14:textId="77777777" w:rsidR="00A737B1" w:rsidRPr="00AE7067" w:rsidRDefault="00A737B1" w:rsidP="00A737B1">
      <w:r w:rsidRPr="00AE7067">
        <w:t xml:space="preserve">El proyecto requiere profundizar en la </w:t>
      </w:r>
      <w:r w:rsidRPr="00AE7067">
        <w:rPr>
          <w:b/>
          <w:bCs/>
        </w:rPr>
        <w:t>Salud Radicular</w:t>
      </w:r>
      <w:r w:rsidRPr="00AE7067">
        <w:t xml:space="preserve">, el procesamiento del </w:t>
      </w:r>
      <w:r w:rsidRPr="00AE7067">
        <w:rPr>
          <w:b/>
          <w:bCs/>
        </w:rPr>
        <w:t>dolor histórico</w:t>
      </w:r>
      <w:r w:rsidRPr="00AE7067">
        <w:t xml:space="preserve">, y el </w:t>
      </w:r>
      <w:r w:rsidRPr="00AE7067">
        <w:rPr>
          <w:b/>
          <w:bCs/>
        </w:rPr>
        <w:t>Arraigo Identitario</w:t>
      </w:r>
      <w:r w:rsidRPr="00AE7067">
        <w:t xml:space="preserve"> a nivel urbano:</w:t>
      </w:r>
    </w:p>
    <w:p w14:paraId="674B9BCD" w14:textId="77777777" w:rsidR="00A737B1" w:rsidRPr="00AE7067" w:rsidRDefault="00A737B1" w:rsidP="00A737B1">
      <w:pPr>
        <w:numPr>
          <w:ilvl w:val="0"/>
          <w:numId w:val="7"/>
        </w:numPr>
        <w:spacing w:after="160" w:line="259" w:lineRule="auto"/>
      </w:pPr>
      <w:r w:rsidRPr="00AE7067">
        <w:rPr>
          <w:b/>
          <w:bCs/>
        </w:rPr>
        <w:t xml:space="preserve">Para el </w:t>
      </w:r>
      <w:proofErr w:type="spellStart"/>
      <w:r w:rsidRPr="00AE7067">
        <w:rPr>
          <w:b/>
          <w:bCs/>
          <w:i/>
          <w:iCs/>
        </w:rPr>
        <w:t>Habitus</w:t>
      </w:r>
      <w:proofErr w:type="spellEnd"/>
      <w:r w:rsidRPr="00AE7067">
        <w:rPr>
          <w:b/>
          <w:bCs/>
        </w:rPr>
        <w:t xml:space="preserve"> y el Espacio Social:</w:t>
      </w:r>
    </w:p>
    <w:p w14:paraId="5AA4F2C5" w14:textId="77777777" w:rsidR="00A737B1" w:rsidRPr="00AE7067" w:rsidRDefault="00A737B1" w:rsidP="00A737B1">
      <w:pPr>
        <w:numPr>
          <w:ilvl w:val="1"/>
          <w:numId w:val="7"/>
        </w:numPr>
        <w:spacing w:after="160" w:line="259" w:lineRule="auto"/>
      </w:pPr>
      <w:r w:rsidRPr="00AE7067">
        <w:rPr>
          <w:b/>
          <w:bCs/>
        </w:rPr>
        <w:t>Pierre Bourdieu:</w:t>
      </w:r>
      <w:r w:rsidRPr="00AE7067">
        <w:t xml:space="preserve"> Si bien ya está citado por el concepto de </w:t>
      </w:r>
      <w:proofErr w:type="spellStart"/>
      <w:r w:rsidRPr="00AE7067">
        <w:rPr>
          <w:i/>
          <w:iCs/>
        </w:rPr>
        <w:t>Habitus</w:t>
      </w:r>
      <w:proofErr w:type="spellEnd"/>
      <w:r w:rsidRPr="00AE7067">
        <w:t xml:space="preserve">, es fundamental recurrir a su obra </w:t>
      </w:r>
      <w:r w:rsidRPr="00AE7067">
        <w:rPr>
          <w:i/>
          <w:iCs/>
        </w:rPr>
        <w:t>La distinción: Criterio y bases sociales del gusto</w:t>
      </w:r>
      <w:r w:rsidRPr="00AE7067">
        <w:t xml:space="preserve">, para entender cómo las </w:t>
      </w:r>
      <w:r w:rsidRPr="00AE7067">
        <w:rPr>
          <w:b/>
          <w:bCs/>
        </w:rPr>
        <w:t>prácticas y estéticas populares</w:t>
      </w:r>
      <w:r w:rsidRPr="00AE7067">
        <w:t xml:space="preserve"> se distribuyen socialmente y se contraponen a la </w:t>
      </w:r>
      <w:r w:rsidRPr="00AE7067">
        <w:rPr>
          <w:b/>
          <w:bCs/>
        </w:rPr>
        <w:t>"Burbuja Meritocrática"</w:t>
      </w:r>
      <w:r w:rsidRPr="00AE7067">
        <w:t>.</w:t>
      </w:r>
    </w:p>
    <w:p w14:paraId="05024D9B" w14:textId="77777777" w:rsidR="00A737B1" w:rsidRPr="00AE7067" w:rsidRDefault="00A737B1" w:rsidP="00A737B1">
      <w:pPr>
        <w:numPr>
          <w:ilvl w:val="1"/>
          <w:numId w:val="7"/>
        </w:numPr>
        <w:spacing w:after="160" w:line="259" w:lineRule="auto"/>
      </w:pPr>
      <w:r w:rsidRPr="00AE7067">
        <w:rPr>
          <w:b/>
          <w:bCs/>
        </w:rPr>
        <w:t>Michel de Certeau:</w:t>
      </w:r>
      <w:r w:rsidRPr="00AE7067">
        <w:t xml:space="preserve"> Su trabajo en </w:t>
      </w:r>
      <w:r w:rsidRPr="00AE7067">
        <w:rPr>
          <w:i/>
          <w:iCs/>
        </w:rPr>
        <w:t>La invención de lo cotidiano</w:t>
      </w:r>
      <w:r w:rsidRPr="00AE7067">
        <w:t xml:space="preserve"> es crucial para analizar las </w:t>
      </w:r>
      <w:r w:rsidRPr="00AE7067">
        <w:rPr>
          <w:b/>
          <w:bCs/>
        </w:rPr>
        <w:t>prácticas barriales y subculturales</w:t>
      </w:r>
      <w:r w:rsidRPr="00AE7067">
        <w:t xml:space="preserve"> (el </w:t>
      </w:r>
      <w:r w:rsidRPr="00AE7067">
        <w:rPr>
          <w:b/>
          <w:bCs/>
        </w:rPr>
        <w:t>"Paisaje Invisible"</w:t>
      </w:r>
      <w:r w:rsidRPr="00AE7067">
        <w:t>) como tácticas de resistencia y creación de significado en la ciudad, vital para entender los "Guardianes de la Raíz".</w:t>
      </w:r>
    </w:p>
    <w:p w14:paraId="4467E536" w14:textId="77777777" w:rsidR="00A737B1" w:rsidRPr="00AE7067" w:rsidRDefault="00A737B1" w:rsidP="00A737B1">
      <w:pPr>
        <w:numPr>
          <w:ilvl w:val="0"/>
          <w:numId w:val="7"/>
        </w:numPr>
        <w:spacing w:after="160" w:line="259" w:lineRule="auto"/>
      </w:pPr>
      <w:r w:rsidRPr="00AE7067">
        <w:rPr>
          <w:b/>
          <w:bCs/>
        </w:rPr>
        <w:lastRenderedPageBreak/>
        <w:t>Para Memoria Histórica y Trauma (El Magnesio):</w:t>
      </w:r>
    </w:p>
    <w:p w14:paraId="60D12168" w14:textId="77777777" w:rsidR="00A737B1" w:rsidRPr="00AE7067" w:rsidRDefault="00A737B1" w:rsidP="00A737B1">
      <w:pPr>
        <w:numPr>
          <w:ilvl w:val="1"/>
          <w:numId w:val="7"/>
        </w:numPr>
        <w:spacing w:after="160" w:line="259" w:lineRule="auto"/>
      </w:pPr>
      <w:r w:rsidRPr="00AE7067">
        <w:rPr>
          <w:b/>
          <w:bCs/>
        </w:rPr>
        <w:t xml:space="preserve">Maurice </w:t>
      </w:r>
      <w:proofErr w:type="spellStart"/>
      <w:r w:rsidRPr="00AE7067">
        <w:rPr>
          <w:b/>
          <w:bCs/>
        </w:rPr>
        <w:t>Halbwachs</w:t>
      </w:r>
      <w:proofErr w:type="spellEnd"/>
      <w:r w:rsidRPr="00AE7067">
        <w:rPr>
          <w:b/>
          <w:bCs/>
        </w:rPr>
        <w:t>:</w:t>
      </w:r>
      <w:r w:rsidRPr="00AE7067">
        <w:t xml:space="preserve"> Su concepto de la </w:t>
      </w:r>
      <w:r w:rsidRPr="00AE7067">
        <w:rPr>
          <w:i/>
          <w:iCs/>
        </w:rPr>
        <w:t>Memoria Colectiva</w:t>
      </w:r>
      <w:r w:rsidRPr="00AE7067">
        <w:t xml:space="preserve"> proporciona el marco teórico para analizar los </w:t>
      </w:r>
      <w:r w:rsidRPr="00AE7067">
        <w:rPr>
          <w:b/>
          <w:bCs/>
        </w:rPr>
        <w:t>conflictos de identidad no resueltos</w:t>
      </w:r>
      <w:r w:rsidRPr="00AE7067">
        <w:t xml:space="preserve"> y la </w:t>
      </w:r>
      <w:r w:rsidRPr="00AE7067">
        <w:rPr>
          <w:b/>
          <w:bCs/>
        </w:rPr>
        <w:t>memoria histórica crítica</w:t>
      </w:r>
      <w:r w:rsidRPr="00AE7067">
        <w:t xml:space="preserve"> (Magnesio), contrastando la narrativa oficial con la oral, tal como lo requiere el Objetivo Etnográfico.</w:t>
      </w:r>
    </w:p>
    <w:p w14:paraId="51FB75FC" w14:textId="77777777" w:rsidR="00A737B1" w:rsidRPr="00AE7067" w:rsidRDefault="00A737B1" w:rsidP="00A737B1">
      <w:pPr>
        <w:rPr>
          <w:b/>
          <w:bCs/>
        </w:rPr>
      </w:pPr>
      <w:r w:rsidRPr="00AE7067">
        <w:rPr>
          <w:b/>
          <w:bCs/>
        </w:rPr>
        <w:t>II. Fuentes para Sustentar la Dimensión del Tronco (Gestión, Burocracia y Flujo)</w:t>
      </w:r>
    </w:p>
    <w:p w14:paraId="36EA3145" w14:textId="77777777" w:rsidR="00A737B1" w:rsidRPr="00AE7067" w:rsidRDefault="00A737B1" w:rsidP="00A737B1">
      <w:r w:rsidRPr="00AE7067">
        <w:t xml:space="preserve">Para la evaluación de la gestión (Objetivo de Gestión) y la cuantificación de la burocracia (Índice </w:t>
      </w:r>
      <w:r w:rsidRPr="00AE7067">
        <w:rPr>
          <w:b/>
          <w:bCs/>
        </w:rPr>
        <w:t>BFR</w:t>
      </w:r>
      <w:r w:rsidRPr="00AE7067">
        <w:t>), se requieren fuentes que traten sobre política cultural y gobernanza:</w:t>
      </w:r>
    </w:p>
    <w:p w14:paraId="5170ED0C" w14:textId="77777777" w:rsidR="00A737B1" w:rsidRPr="00AE7067" w:rsidRDefault="00A737B1" w:rsidP="00A737B1">
      <w:pPr>
        <w:numPr>
          <w:ilvl w:val="0"/>
          <w:numId w:val="8"/>
        </w:numPr>
        <w:spacing w:after="160" w:line="259" w:lineRule="auto"/>
      </w:pPr>
      <w:r w:rsidRPr="00AE7067">
        <w:rPr>
          <w:b/>
          <w:bCs/>
        </w:rPr>
        <w:t>Para Políticas Culturales y Gobernanza:</w:t>
      </w:r>
    </w:p>
    <w:p w14:paraId="7442BC0C" w14:textId="77777777" w:rsidR="00A737B1" w:rsidRPr="00AE7067" w:rsidRDefault="00A737B1" w:rsidP="00A737B1">
      <w:pPr>
        <w:numPr>
          <w:ilvl w:val="1"/>
          <w:numId w:val="8"/>
        </w:numPr>
        <w:spacing w:after="160" w:line="259" w:lineRule="auto"/>
      </w:pPr>
      <w:r w:rsidRPr="00AE7067">
        <w:rPr>
          <w:b/>
          <w:bCs/>
        </w:rPr>
        <w:t>Néstor García Canclini:</w:t>
      </w:r>
      <w:r w:rsidRPr="00AE7067">
        <w:t xml:space="preserve"> Sus obras sobre la </w:t>
      </w:r>
      <w:r w:rsidRPr="00AE7067">
        <w:rPr>
          <w:i/>
          <w:iCs/>
        </w:rPr>
        <w:t>Gestión cultural y la cultura como valor</w:t>
      </w:r>
      <w:r w:rsidRPr="00AE7067">
        <w:t xml:space="preserve"> son clave para situar la institucionalidad (el Tronco) dentro de los </w:t>
      </w:r>
      <w:r w:rsidRPr="00AE7067">
        <w:rPr>
          <w:b/>
          <w:bCs/>
        </w:rPr>
        <w:t>procesos de organización y resolución</w:t>
      </w:r>
      <w:r w:rsidRPr="00AE7067">
        <w:t xml:space="preserve"> y la necesidad de </w:t>
      </w:r>
      <w:r w:rsidRPr="00AE7067">
        <w:rPr>
          <w:b/>
          <w:bCs/>
        </w:rPr>
        <w:t>transparencia y flujo de recursos</w:t>
      </w:r>
      <w:r w:rsidRPr="00AE7067">
        <w:t>.</w:t>
      </w:r>
    </w:p>
    <w:p w14:paraId="3F351EA2" w14:textId="77777777" w:rsidR="00A737B1" w:rsidRPr="00AE7067" w:rsidRDefault="00A737B1" w:rsidP="00A737B1">
      <w:pPr>
        <w:numPr>
          <w:ilvl w:val="1"/>
          <w:numId w:val="8"/>
        </w:numPr>
        <w:spacing w:after="160" w:line="259" w:lineRule="auto"/>
      </w:pPr>
      <w:r w:rsidRPr="00AE7067">
        <w:rPr>
          <w:b/>
          <w:bCs/>
        </w:rPr>
        <w:t xml:space="preserve">George </w:t>
      </w:r>
      <w:proofErr w:type="spellStart"/>
      <w:r w:rsidRPr="00AE7067">
        <w:rPr>
          <w:b/>
          <w:bCs/>
        </w:rPr>
        <w:t>Yúdice</w:t>
      </w:r>
      <w:proofErr w:type="spellEnd"/>
      <w:r w:rsidRPr="00AE7067">
        <w:rPr>
          <w:b/>
          <w:bCs/>
        </w:rPr>
        <w:t>:</w:t>
      </w:r>
      <w:r w:rsidRPr="00AE7067">
        <w:t xml:space="preserve"> </w:t>
      </w:r>
      <w:r w:rsidRPr="00AE7067">
        <w:rPr>
          <w:i/>
          <w:iCs/>
        </w:rPr>
        <w:t>El recurso de la cultura: Usos de la cultura en la era global</w:t>
      </w:r>
      <w:r w:rsidRPr="00AE7067">
        <w:t xml:space="preserve">. Este autor ayuda a enmarcar la cultura como un </w:t>
      </w:r>
      <w:r w:rsidRPr="00AE7067">
        <w:rPr>
          <w:b/>
          <w:bCs/>
        </w:rPr>
        <w:t>motor de desarrollo, no un gasto</w:t>
      </w:r>
      <w:r w:rsidRPr="00AE7067">
        <w:t xml:space="preserve">, justificando la inversión en un </w:t>
      </w:r>
      <w:r w:rsidRPr="00AE7067">
        <w:rPr>
          <w:b/>
          <w:bCs/>
        </w:rPr>
        <w:t>Sistema de Monitoreo y Seguimiento</w:t>
      </w:r>
      <w:r w:rsidRPr="00AE7067">
        <w:t>.</w:t>
      </w:r>
    </w:p>
    <w:p w14:paraId="73E4F382" w14:textId="77777777" w:rsidR="00A737B1" w:rsidRPr="00AE7067" w:rsidRDefault="00A737B1" w:rsidP="00A737B1">
      <w:pPr>
        <w:numPr>
          <w:ilvl w:val="0"/>
          <w:numId w:val="8"/>
        </w:numPr>
        <w:spacing w:after="160" w:line="259" w:lineRule="auto"/>
      </w:pPr>
      <w:r w:rsidRPr="00AE7067">
        <w:rPr>
          <w:b/>
          <w:bCs/>
        </w:rPr>
        <w:t>Para la Participación y Flujo (El Agua):</w:t>
      </w:r>
    </w:p>
    <w:p w14:paraId="315EA715" w14:textId="77777777" w:rsidR="00A737B1" w:rsidRPr="00AE7067" w:rsidRDefault="00A737B1" w:rsidP="00A737B1">
      <w:pPr>
        <w:numPr>
          <w:ilvl w:val="1"/>
          <w:numId w:val="8"/>
        </w:numPr>
        <w:spacing w:after="160" w:line="259" w:lineRule="auto"/>
      </w:pPr>
      <w:proofErr w:type="spellStart"/>
      <w:r w:rsidRPr="00AE7067">
        <w:rPr>
          <w:b/>
          <w:bCs/>
        </w:rPr>
        <w:t>Arnstein</w:t>
      </w:r>
      <w:proofErr w:type="spellEnd"/>
      <w:r w:rsidRPr="00AE7067">
        <w:rPr>
          <w:b/>
          <w:bCs/>
        </w:rPr>
        <w:t>:</w:t>
      </w:r>
      <w:r w:rsidRPr="00AE7067">
        <w:t xml:space="preserve"> Su </w:t>
      </w:r>
      <w:r w:rsidRPr="00AE7067">
        <w:rPr>
          <w:i/>
          <w:iCs/>
        </w:rPr>
        <w:t>Escalera de Participación Ciudadana</w:t>
      </w:r>
      <w:r w:rsidRPr="00AE7067">
        <w:t xml:space="preserve"> es un referente metodológico que permite medir el </w:t>
      </w:r>
      <w:r w:rsidRPr="00AE7067">
        <w:rPr>
          <w:b/>
          <w:bCs/>
        </w:rPr>
        <w:t>flujo comunicacional y la participación ciudadana activa</w:t>
      </w:r>
      <w:r w:rsidRPr="00AE7067">
        <w:t xml:space="preserve">, y evaluar si el </w:t>
      </w:r>
      <w:r w:rsidRPr="00AE7067">
        <w:rPr>
          <w:b/>
          <w:bCs/>
        </w:rPr>
        <w:t>Agua (Participación)</w:t>
      </w:r>
      <w:r w:rsidRPr="00AE7067">
        <w:t xml:space="preserve"> está llegando realmente a la periferia (Irrigación) o si solo se queda estancada en el centro, lo cual es vital para el enfoque orgánico y participativo del proyecto.</w:t>
      </w:r>
    </w:p>
    <w:p w14:paraId="173C96FD" w14:textId="77777777" w:rsidR="00A737B1" w:rsidRPr="00AE7067" w:rsidRDefault="00A737B1" w:rsidP="00A737B1">
      <w:pPr>
        <w:rPr>
          <w:b/>
          <w:bCs/>
        </w:rPr>
      </w:pPr>
      <w:r w:rsidRPr="00AE7067">
        <w:rPr>
          <w:b/>
          <w:bCs/>
        </w:rPr>
        <w:t>III. Fuentes para Sustentar la Dimensión de Ramas y Frutos (Economía Naranja e Innovación)</w:t>
      </w:r>
    </w:p>
    <w:p w14:paraId="0A7930E5" w14:textId="77777777" w:rsidR="00A737B1" w:rsidRPr="00AE7067" w:rsidRDefault="00A737B1" w:rsidP="00A737B1">
      <w:r w:rsidRPr="00AE7067">
        <w:t xml:space="preserve">Dado que el proyecto busca la </w:t>
      </w:r>
      <w:r w:rsidRPr="00AE7067">
        <w:rPr>
          <w:b/>
          <w:bCs/>
        </w:rPr>
        <w:t>cuantificación del valor socioeconómico</w:t>
      </w:r>
      <w:r w:rsidRPr="00AE7067">
        <w:t xml:space="preserve"> y la identificación de </w:t>
      </w:r>
      <w:r w:rsidRPr="00AE7067">
        <w:rPr>
          <w:b/>
          <w:bCs/>
          <w:i/>
          <w:iCs/>
        </w:rPr>
        <w:t>ideas semillas</w:t>
      </w:r>
      <w:r w:rsidRPr="00AE7067">
        <w:rPr>
          <w:b/>
          <w:bCs/>
        </w:rPr>
        <w:t xml:space="preserve"> innovadoras</w:t>
      </w:r>
      <w:r w:rsidRPr="00AE7067">
        <w:t>, es necesario sustentar el marco de la economía creativa:</w:t>
      </w:r>
    </w:p>
    <w:p w14:paraId="66557185" w14:textId="77777777" w:rsidR="00A737B1" w:rsidRPr="00AE7067" w:rsidRDefault="00A737B1" w:rsidP="00A737B1">
      <w:pPr>
        <w:numPr>
          <w:ilvl w:val="0"/>
          <w:numId w:val="9"/>
        </w:numPr>
        <w:spacing w:after="160" w:line="259" w:lineRule="auto"/>
      </w:pPr>
      <w:r w:rsidRPr="00AE7067">
        <w:rPr>
          <w:b/>
          <w:bCs/>
        </w:rPr>
        <w:t>Para la Economía Naranja y el Retorno (El Potasio):</w:t>
      </w:r>
    </w:p>
    <w:p w14:paraId="76F0DB39" w14:textId="77777777" w:rsidR="00A737B1" w:rsidRPr="00AE7067" w:rsidRDefault="00A737B1" w:rsidP="00A737B1">
      <w:pPr>
        <w:numPr>
          <w:ilvl w:val="1"/>
          <w:numId w:val="9"/>
        </w:numPr>
        <w:spacing w:after="160" w:line="259" w:lineRule="auto"/>
      </w:pPr>
      <w:r w:rsidRPr="00AE7067">
        <w:rPr>
          <w:b/>
          <w:bCs/>
          <w:lang w:val="en-US"/>
        </w:rPr>
        <w:t>John Howkins:</w:t>
      </w:r>
      <w:r w:rsidRPr="00AE7067">
        <w:rPr>
          <w:lang w:val="en-US"/>
        </w:rPr>
        <w:t xml:space="preserve"> </w:t>
      </w:r>
      <w:r w:rsidRPr="00AE7067">
        <w:rPr>
          <w:i/>
          <w:iCs/>
          <w:lang w:val="en-US"/>
        </w:rPr>
        <w:t>The Creative Economy</w:t>
      </w:r>
      <w:r w:rsidRPr="00AE7067">
        <w:rPr>
          <w:lang w:val="en-US"/>
        </w:rPr>
        <w:t xml:space="preserve">. </w:t>
      </w:r>
      <w:r w:rsidRPr="00AE7067">
        <w:t xml:space="preserve">Esta obra define la estructura y el valor de los </w:t>
      </w:r>
      <w:r w:rsidRPr="00AE7067">
        <w:rPr>
          <w:b/>
          <w:bCs/>
        </w:rPr>
        <w:t>bienes y servicios de alto valor agregado</w:t>
      </w:r>
      <w:r w:rsidRPr="00AE7067">
        <w:t xml:space="preserve"> (los 'Frutos Armónicos'), apoyando la justificación de que la cultura es un catalizador de la </w:t>
      </w:r>
      <w:r w:rsidRPr="00AE7067">
        <w:rPr>
          <w:b/>
          <w:bCs/>
        </w:rPr>
        <w:t>competitividad</w:t>
      </w:r>
      <w:r w:rsidRPr="00AE7067">
        <w:t>.</w:t>
      </w:r>
    </w:p>
    <w:p w14:paraId="111706BB" w14:textId="77777777" w:rsidR="00A737B1" w:rsidRPr="00AE7067" w:rsidRDefault="00A737B1" w:rsidP="00A737B1">
      <w:pPr>
        <w:numPr>
          <w:ilvl w:val="0"/>
          <w:numId w:val="9"/>
        </w:numPr>
        <w:spacing w:after="160" w:line="259" w:lineRule="auto"/>
      </w:pPr>
      <w:r w:rsidRPr="00AE7067">
        <w:rPr>
          <w:b/>
          <w:bCs/>
        </w:rPr>
        <w:t>Para la Metodología y la Operacionalización de Indicadores:</w:t>
      </w:r>
    </w:p>
    <w:p w14:paraId="3B69F280" w14:textId="77777777" w:rsidR="00A737B1" w:rsidRPr="00AE7067" w:rsidRDefault="00A737B1" w:rsidP="00A737B1">
      <w:pPr>
        <w:numPr>
          <w:ilvl w:val="1"/>
          <w:numId w:val="9"/>
        </w:numPr>
        <w:spacing w:after="160" w:line="259" w:lineRule="auto"/>
      </w:pPr>
      <w:r w:rsidRPr="00AE7067">
        <w:rPr>
          <w:b/>
          <w:bCs/>
        </w:rPr>
        <w:t xml:space="preserve">Jan M. Bauer y Ben A. V. van </w:t>
      </w:r>
      <w:proofErr w:type="spellStart"/>
      <w:r w:rsidRPr="00AE7067">
        <w:rPr>
          <w:b/>
          <w:bCs/>
        </w:rPr>
        <w:t>Vught</w:t>
      </w:r>
      <w:proofErr w:type="spellEnd"/>
      <w:r w:rsidRPr="00AE7067">
        <w:rPr>
          <w:b/>
          <w:bCs/>
        </w:rPr>
        <w:t>:</w:t>
      </w:r>
      <w:r w:rsidRPr="00AE7067">
        <w:t xml:space="preserve"> Sus trabajos sobre </w:t>
      </w:r>
      <w:r w:rsidRPr="00AE7067">
        <w:rPr>
          <w:b/>
          <w:bCs/>
        </w:rPr>
        <w:t>Indicadores Culturales</w:t>
      </w:r>
      <w:r w:rsidRPr="00AE7067">
        <w:t xml:space="preserve"> son esenciales para la fase de Laboratorio de Análisis, permitiendo transformar las partes del árbol en </w:t>
      </w:r>
      <w:r w:rsidRPr="00AE7067">
        <w:rPr>
          <w:b/>
          <w:bCs/>
        </w:rPr>
        <w:t>categorías de análisis y variables medibles</w:t>
      </w:r>
      <w:r w:rsidRPr="00AE7067">
        <w:t xml:space="preserve"> y asegurar que la </w:t>
      </w:r>
      <w:r w:rsidRPr="00AE7067">
        <w:rPr>
          <w:b/>
          <w:bCs/>
        </w:rPr>
        <w:t>Tasa de Consumo Cultural (TCC)</w:t>
      </w:r>
      <w:r w:rsidRPr="00AE7067">
        <w:t xml:space="preserve"> sea estadísticamente robusta.</w:t>
      </w:r>
    </w:p>
    <w:p w14:paraId="6A88E5AD" w14:textId="77777777" w:rsidR="00A737B1" w:rsidRPr="00AE7067" w:rsidRDefault="00A737B1" w:rsidP="00A737B1">
      <w:r w:rsidRPr="00AE7067">
        <w:t xml:space="preserve">Estas fuentes, en conjunto con Geertz y Bourdieu, proporcionan el soporte teórico-metodológico para transitar de la metáfora del Árbol al </w:t>
      </w:r>
      <w:r w:rsidRPr="00AE7067">
        <w:rPr>
          <w:b/>
          <w:bCs/>
        </w:rPr>
        <w:t>diagnóstico riguroso</w:t>
      </w:r>
      <w:r w:rsidRPr="00AE7067">
        <w:t xml:space="preserve"> y la </w:t>
      </w:r>
      <w:r w:rsidRPr="00AE7067">
        <w:rPr>
          <w:b/>
          <w:bCs/>
        </w:rPr>
        <w:t>receta de agronomía social</w:t>
      </w:r>
      <w:r w:rsidRPr="00AE7067">
        <w:t xml:space="preserve"> que la investigación propone.</w:t>
      </w:r>
    </w:p>
    <w:p w14:paraId="3721EEEE" w14:textId="77777777" w:rsidR="00A737B1" w:rsidRDefault="00A737B1"/>
    <w:sectPr w:rsidR="00A737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1" w:fontKey="{67E20062-E6BA-4F79-B819-52D9A62070F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5A81903-905C-41E9-8B5C-978B52C362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107821-CBCD-4145-9C71-43843F8FAE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D6E20"/>
    <w:multiLevelType w:val="multilevel"/>
    <w:tmpl w:val="0F3C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F6F25"/>
    <w:multiLevelType w:val="multilevel"/>
    <w:tmpl w:val="3CDA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A41F2"/>
    <w:multiLevelType w:val="multilevel"/>
    <w:tmpl w:val="644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462E7"/>
    <w:multiLevelType w:val="multilevel"/>
    <w:tmpl w:val="124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158D7"/>
    <w:multiLevelType w:val="multilevel"/>
    <w:tmpl w:val="0FA8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02011"/>
    <w:multiLevelType w:val="multilevel"/>
    <w:tmpl w:val="EA50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7131F"/>
    <w:multiLevelType w:val="multilevel"/>
    <w:tmpl w:val="A210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0048C"/>
    <w:multiLevelType w:val="multilevel"/>
    <w:tmpl w:val="436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35F76"/>
    <w:multiLevelType w:val="multilevel"/>
    <w:tmpl w:val="DB9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8CF"/>
    <w:rsid w:val="004F33C5"/>
    <w:rsid w:val="005C28CF"/>
    <w:rsid w:val="00A7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C373"/>
  <w15:docId w15:val="{A08D76AB-69FD-474A-A6FF-FD2EE5E49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2285</Words>
  <Characters>12572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abril conde</cp:lastModifiedBy>
  <cp:revision>2</cp:revision>
  <dcterms:created xsi:type="dcterms:W3CDTF">2025-12-12T22:29:00Z</dcterms:created>
  <dcterms:modified xsi:type="dcterms:W3CDTF">2025-12-12T23:18:00Z</dcterms:modified>
</cp:coreProperties>
</file>