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Date: 12/04/2017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</w:t>
      </w:r>
      <w:r w:rsidDel="00000000" w:rsidR="00000000" w:rsidRPr="00000000">
        <w:rPr>
          <w:rFonts w:ascii="Calibri" w:cs="Calibri" w:eastAsia="Calibri" w:hAnsi="Calibri"/>
          <w:color w:val="1f497d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Meyrick PTY LTD Trustee for the Chak’s Family Trust,</w:t>
      </w:r>
      <w:r w:rsidDel="00000000" w:rsidR="00000000" w:rsidRPr="00000000">
        <w:rPr>
          <w:sz w:val="24"/>
          <w:szCs w:val="24"/>
          <w:rtl w:val="0"/>
        </w:rPr>
        <w:t xml:space="preserve"> 38 O’Malley st, Osborne Park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Monthly Maintenance of hedge and plants</w:t>
        <w:br w:type="textWrapping"/>
        <w:t xml:space="preserve">Weed spray for couch grass and pavement weeds</w:t>
        <w:br w:type="textWrapping"/>
        <w:t xml:space="preserve">Powerfeed for 2 tree’s for reshaping in future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Weed Spray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</w:t>
      </w:r>
      <w:r w:rsidDel="00000000" w:rsidR="00000000" w:rsidRPr="00000000">
        <w:rPr>
          <w:b w:val="1"/>
          <w:rtl w:val="0"/>
        </w:rPr>
        <w:t xml:space="preserve"> $140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