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Date: 20/07/2016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</w:t>
        <w:br w:type="textWrapping"/>
        <w:t xml:space="preserve">ABN: 62 593 423 594</w:t>
        <w:br w:type="textWrapping"/>
        <w:t xml:space="preserve">To : </w:t>
      </w:r>
      <w:r w:rsidDel="00000000" w:rsidR="00000000" w:rsidRPr="00000000">
        <w:rPr>
          <w:rFonts w:ascii="Calibri" w:cs="Calibri" w:eastAsia="Calibri" w:hAnsi="Calibri"/>
          <w:color w:val="1f497d"/>
          <w:sz w:val="22"/>
          <w:szCs w:val="22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Meyrick PTY LTD Trustee for the Chak’s Family Trust,</w:t>
      </w:r>
      <w:r w:rsidDel="00000000" w:rsidR="00000000" w:rsidRPr="00000000">
        <w:rPr>
          <w:sz w:val="24"/>
          <w:szCs w:val="24"/>
          <w:rtl w:val="0"/>
        </w:rPr>
        <w:t xml:space="preserve"> 38 O’Malley st, Osborne Park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Monthly Maintenance of hedge and plants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$120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