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79ms8g4qnma2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20/07/2017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Date: 20/07/2016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</w:t>
        <w:br w:type="textWrapping"/>
        <w:t xml:space="preserve">ABN: 62 593 423 594</w:t>
        <w:br w:type="textWrapping"/>
        <w:t xml:space="preserve">To : </w:t>
      </w:r>
      <w:r w:rsidDel="00000000" w:rsidR="00000000" w:rsidRPr="00000000">
        <w:rPr>
          <w:rFonts w:ascii="Calibri" w:cs="Calibri" w:eastAsia="Calibri" w:hAnsi="Calibri"/>
          <w:color w:val="1f497d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Meyrick PTY LTD Trustee for the Chak’s Family Trust,</w:t>
      </w:r>
      <w:r w:rsidDel="00000000" w:rsidR="00000000" w:rsidRPr="00000000">
        <w:rPr>
          <w:sz w:val="24"/>
          <w:szCs w:val="24"/>
          <w:rtl w:val="0"/>
        </w:rPr>
        <w:t xml:space="preserve"> 38 O’Malley st, Osborne Park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Remove all of existing hedge</w:t>
        <w:br w:type="textWrapping"/>
        <w:t xml:space="preserve">Plant cordyline plants around palm tree and pencil pine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 agreed from planting Quotation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$376.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$376.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65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$376.65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