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57EC" w14:textId="7D6E913B" w:rsidR="00FF0099" w:rsidRDefault="0090440F">
      <w:r>
        <w:t xml:space="preserve">Simulace výnosů je WPF aplikace demonstrující algoritmus pro Monte Carlo simulaci </w:t>
      </w:r>
      <w:r w:rsidR="001C4391">
        <w:t>vývoje</w:t>
      </w:r>
      <w:r>
        <w:t xml:space="preserve"> investičních portfolií.</w:t>
      </w:r>
      <w:r w:rsidR="00FF0099">
        <w:t xml:space="preserve"> Cílem bylo vytvořit prakticky použitelný algoritmus, který dává relevantní a graficky efektní výsledky a </w:t>
      </w:r>
      <w:r w:rsidR="00BC20E8">
        <w:t xml:space="preserve">zároveň do výpočtů </w:t>
      </w:r>
      <w:r w:rsidR="00FF0099">
        <w:t xml:space="preserve">zahrnout </w:t>
      </w:r>
      <w:r w:rsidR="00BC20E8">
        <w:t>všechny</w:t>
      </w:r>
      <w:r w:rsidR="00FF0099">
        <w:t xml:space="preserve"> klíčové </w:t>
      </w:r>
      <w:r w:rsidR="00BC20E8">
        <w:t>ukazatele</w:t>
      </w:r>
      <w:r w:rsidR="00FF0099">
        <w:t xml:space="preserve"> nutné pro investiční rozhodování a volbu investičního profilu. Vedle očekávaného výnosu, celkově vložené částky a střední hodnoty je to reálná střední hodnota (</w:t>
      </w:r>
      <w:r w:rsidR="00AE2AD1">
        <w:t>ukazující</w:t>
      </w:r>
      <w:r w:rsidR="00FF0099">
        <w:t xml:space="preserve"> co si </w:t>
      </w:r>
      <w:r w:rsidR="00BC20E8">
        <w:t>investor bude</w:t>
      </w:r>
      <w:r w:rsidR="00FF0099">
        <w:t xml:space="preserve"> moci za na</w:t>
      </w:r>
      <w:r w:rsidR="00BC20E8">
        <w:t>spořené peníze koupit</w:t>
      </w:r>
      <w:r w:rsidR="00FF0099">
        <w:t>)</w:t>
      </w:r>
      <w:r w:rsidR="00574DFC">
        <w:t>, minimum, pod které hodnota investice s </w:t>
      </w:r>
      <w:r w:rsidR="00BC20E8">
        <w:t>vysokou</w:t>
      </w:r>
      <w:r w:rsidR="00574DFC">
        <w:t xml:space="preserve"> </w:t>
      </w:r>
      <w:r w:rsidR="00BC20E8">
        <w:t>pravděpodobností</w:t>
      </w:r>
      <w:r w:rsidR="00574DFC">
        <w:t xml:space="preserve"> </w:t>
      </w:r>
      <w:r w:rsidR="00BC20E8">
        <w:t>nepoklesne</w:t>
      </w:r>
      <w:r w:rsidR="00574DFC">
        <w:t xml:space="preserve"> a pravděpodobnosti překonání vlo</w:t>
      </w:r>
      <w:r w:rsidR="00BC20E8">
        <w:t>žené částky a inflace. Aplikace</w:t>
      </w:r>
      <w:r w:rsidR="00FF0099">
        <w:t xml:space="preserve"> </w:t>
      </w:r>
      <w:r w:rsidR="00BC20E8">
        <w:t>n</w:t>
      </w:r>
      <w:r w:rsidR="00574DFC">
        <w:t>a rozdíl od běžných investičních kalkulaček odpovídá nejen na to, kolik můžu vydělat, ale i na to, jaké jsou možné ztráty.</w:t>
      </w:r>
      <w:r w:rsidR="00BC20E8">
        <w:t xml:space="preserve"> Zároveň</w:t>
      </w:r>
      <w:r w:rsidR="00574DFC">
        <w:t xml:space="preserve"> dává investování do důležitého kontextu inflace. Může </w:t>
      </w:r>
      <w:r w:rsidR="000B1419">
        <w:t xml:space="preserve">také </w:t>
      </w:r>
      <w:r w:rsidR="00BC20E8">
        <w:t>být doplňující pomůckou pro výběr</w:t>
      </w:r>
      <w:r w:rsidR="00574DFC">
        <w:t xml:space="preserve"> </w:t>
      </w:r>
      <w:r w:rsidR="00BC20E8">
        <w:t>investičního profilu – t</w:t>
      </w:r>
      <w:r w:rsidR="00574DFC">
        <w:t xml:space="preserve">en se typicky zjišťuje pomocí sady otázek v investičním dotazníku, simulace </w:t>
      </w:r>
      <w:r w:rsidR="00BC20E8">
        <w:t>umožní lépe</w:t>
      </w:r>
      <w:r w:rsidR="00574DFC">
        <w:t xml:space="preserve"> porozumět rizikům na konkrétních finančních plánech klienta</w:t>
      </w:r>
      <w:r w:rsidR="00BC20E8">
        <w:t xml:space="preserve">, což je z psychologického hlediska vhodnější, nežli dotaz ohledně </w:t>
      </w:r>
      <w:r w:rsidR="00AE2AD1">
        <w:t xml:space="preserve">vnímání </w:t>
      </w:r>
      <w:r w:rsidR="00BC20E8">
        <w:t>zisků a ztrát u abstraktní částky v dotazníku.</w:t>
      </w:r>
    </w:p>
    <w:p w14:paraId="0AF3ACBD" w14:textId="77777777" w:rsidR="0090440F" w:rsidRDefault="003B4FED">
      <w:r>
        <w:t>Výpočet minim a maxim vychází ze směrodatné odchylky hodnot jednotlivých simulací vynásobené příslušnou hodnotou kvantilu – na</w:t>
      </w:r>
      <w:r w:rsidR="001C4391">
        <w:t xml:space="preserve"> </w:t>
      </w:r>
      <w:r>
        <w:t>rozdíl od seřazení výsledků simulace a zahození např. horních a dolních 2,5 % jsou výsledné čáry méně kostr</w:t>
      </w:r>
      <w:r w:rsidR="001C4391">
        <w:t>baté (podobně jako průměr vycházejí ze všech hodnot</w:t>
      </w:r>
      <w:r>
        <w:t>).</w:t>
      </w:r>
      <w:r w:rsidR="00024C77">
        <w:t xml:space="preserve"> Maximum je v grafu zobrazováno z obchodních důvodů – pokud ukazujeme minimální hodnotu, tak je pro vyváženost vhodné zobrazit i stejně pravděpodobnou maximální hodnotu.</w:t>
      </w:r>
    </w:p>
    <w:p w14:paraId="41368462" w14:textId="77777777" w:rsidR="003B4FED" w:rsidRDefault="003B4FED">
      <w:r>
        <w:t xml:space="preserve">Jednotlivé profily se </w:t>
      </w:r>
      <w:proofErr w:type="gramStart"/>
      <w:r>
        <w:t>liší</w:t>
      </w:r>
      <w:proofErr w:type="gramEnd"/>
      <w:r>
        <w:t xml:space="preserve"> procentním </w:t>
      </w:r>
      <w:r w:rsidR="001C4391">
        <w:t>zastoupením</w:t>
      </w:r>
      <w:r>
        <w:t xml:space="preserve"> jednotlivých tříd</w:t>
      </w:r>
      <w:r w:rsidR="001C4391">
        <w:t xml:space="preserve"> aktiv, u všech dochází od 10. r</w:t>
      </w:r>
      <w:r>
        <w:t xml:space="preserve">oku před koncem období k postupnému </w:t>
      </w:r>
      <w:proofErr w:type="spellStart"/>
      <w:r>
        <w:t>zkonzervativňování</w:t>
      </w:r>
      <w:proofErr w:type="spellEnd"/>
      <w:r>
        <w:t xml:space="preserve"> (viz </w:t>
      </w:r>
      <w:r w:rsidR="0061293B">
        <w:t>grafy</w:t>
      </w:r>
      <w:r>
        <w:t xml:space="preserve"> níže). Maximální doba </w:t>
      </w:r>
      <w:r w:rsidR="001C4391">
        <w:t>investování</w:t>
      </w:r>
      <w:r>
        <w:t xml:space="preserve"> je zafixována na 30 let, stejně tak </w:t>
      </w:r>
      <w:r w:rsidR="001C4391">
        <w:t xml:space="preserve">jsou zafixovány </w:t>
      </w:r>
      <w:r>
        <w:t xml:space="preserve">očekávané výnosy a variabilita podkladových aktiv. </w:t>
      </w:r>
      <w:r w:rsidR="003B28CB">
        <w:t xml:space="preserve">Při reálném </w:t>
      </w:r>
      <w:r w:rsidR="001C4391">
        <w:t>nasazení</w:t>
      </w:r>
      <w:r w:rsidR="003B28CB">
        <w:t xml:space="preserve"> by </w:t>
      </w:r>
      <w:r w:rsidR="0019529D">
        <w:t xml:space="preserve">maximální </w:t>
      </w:r>
      <w:r w:rsidR="003B28CB">
        <w:t xml:space="preserve">doba investování byla delší a očekávané výnosy / variabilitu by bylo možné měnit (ne </w:t>
      </w:r>
      <w:r w:rsidR="001C4391">
        <w:t xml:space="preserve">ale </w:t>
      </w:r>
      <w:r w:rsidR="003B28CB">
        <w:t xml:space="preserve">v uživatelském UI – tyto údaje jsou ze své </w:t>
      </w:r>
      <w:r w:rsidR="001C4391">
        <w:t>povahy</w:t>
      </w:r>
      <w:r w:rsidR="003B28CB">
        <w:t xml:space="preserve"> v podstatě stálé, zadává je investiční společnost nebo poradce na základě dlouhodobého strategického výhledu).</w:t>
      </w:r>
    </w:p>
    <w:p w14:paraId="63818681" w14:textId="77777777" w:rsidR="00620748" w:rsidRDefault="00620748">
      <w:r>
        <w:t>Vstupní parametry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20748" w14:paraId="172FBA6B" w14:textId="77777777" w:rsidTr="00620748">
        <w:tc>
          <w:tcPr>
            <w:tcW w:w="3070" w:type="dxa"/>
          </w:tcPr>
          <w:p w14:paraId="7B11FA12" w14:textId="77777777" w:rsidR="00620748" w:rsidRDefault="00620748"/>
        </w:tc>
        <w:tc>
          <w:tcPr>
            <w:tcW w:w="3071" w:type="dxa"/>
          </w:tcPr>
          <w:p w14:paraId="7BB3845D" w14:textId="77777777" w:rsidR="00620748" w:rsidRDefault="00620748" w:rsidP="00620748">
            <w:pPr>
              <w:jc w:val="center"/>
            </w:pPr>
            <w:r>
              <w:t>roční míra růstu</w:t>
            </w:r>
          </w:p>
        </w:tc>
        <w:tc>
          <w:tcPr>
            <w:tcW w:w="3071" w:type="dxa"/>
          </w:tcPr>
          <w:p w14:paraId="30E9DF7E" w14:textId="77777777" w:rsidR="00620748" w:rsidRDefault="00620748" w:rsidP="00620748">
            <w:pPr>
              <w:jc w:val="center"/>
            </w:pPr>
            <w:r>
              <w:t>roční směrodatná odchylka</w:t>
            </w:r>
          </w:p>
        </w:tc>
      </w:tr>
      <w:tr w:rsidR="00620748" w14:paraId="2AF0FB36" w14:textId="77777777" w:rsidTr="00620748">
        <w:tc>
          <w:tcPr>
            <w:tcW w:w="3070" w:type="dxa"/>
          </w:tcPr>
          <w:p w14:paraId="1D0F65F4" w14:textId="77777777" w:rsidR="00620748" w:rsidRDefault="00620748">
            <w:r>
              <w:t>akcie</w:t>
            </w:r>
          </w:p>
        </w:tc>
        <w:tc>
          <w:tcPr>
            <w:tcW w:w="3071" w:type="dxa"/>
          </w:tcPr>
          <w:p w14:paraId="72C6F543" w14:textId="77777777" w:rsidR="00620748" w:rsidRDefault="00620748" w:rsidP="00620748">
            <w:pPr>
              <w:jc w:val="center"/>
            </w:pPr>
            <w:r>
              <w:t>7 %</w:t>
            </w:r>
          </w:p>
        </w:tc>
        <w:tc>
          <w:tcPr>
            <w:tcW w:w="3071" w:type="dxa"/>
          </w:tcPr>
          <w:p w14:paraId="55BC1150" w14:textId="77777777" w:rsidR="00620748" w:rsidRDefault="00620748" w:rsidP="00620748">
            <w:pPr>
              <w:jc w:val="center"/>
            </w:pPr>
            <w:r>
              <w:t>15 %</w:t>
            </w:r>
          </w:p>
        </w:tc>
      </w:tr>
      <w:tr w:rsidR="00620748" w14:paraId="3F2BB86E" w14:textId="77777777" w:rsidTr="00620748">
        <w:tc>
          <w:tcPr>
            <w:tcW w:w="3070" w:type="dxa"/>
          </w:tcPr>
          <w:p w14:paraId="79E21597" w14:textId="77777777" w:rsidR="00620748" w:rsidRDefault="00620748">
            <w:r>
              <w:t>dluhopisy</w:t>
            </w:r>
          </w:p>
        </w:tc>
        <w:tc>
          <w:tcPr>
            <w:tcW w:w="3071" w:type="dxa"/>
          </w:tcPr>
          <w:p w14:paraId="71632CED" w14:textId="38ABDC59" w:rsidR="00620748" w:rsidRDefault="00B23A4C" w:rsidP="00620748">
            <w:pPr>
              <w:jc w:val="center"/>
            </w:pPr>
            <w:r>
              <w:t>4</w:t>
            </w:r>
            <w:r w:rsidR="00620748">
              <w:t xml:space="preserve"> %</w:t>
            </w:r>
          </w:p>
        </w:tc>
        <w:tc>
          <w:tcPr>
            <w:tcW w:w="3071" w:type="dxa"/>
          </w:tcPr>
          <w:p w14:paraId="04BF6FAB" w14:textId="7F13817D" w:rsidR="00620748" w:rsidRDefault="00B23A4C" w:rsidP="00620748">
            <w:pPr>
              <w:jc w:val="center"/>
            </w:pPr>
            <w:r>
              <w:t>8</w:t>
            </w:r>
            <w:r w:rsidR="00620748">
              <w:t xml:space="preserve"> %</w:t>
            </w:r>
          </w:p>
        </w:tc>
      </w:tr>
      <w:tr w:rsidR="00620748" w14:paraId="64271A94" w14:textId="77777777" w:rsidTr="00620748">
        <w:tc>
          <w:tcPr>
            <w:tcW w:w="3070" w:type="dxa"/>
          </w:tcPr>
          <w:p w14:paraId="0B4F2E7A" w14:textId="77777777" w:rsidR="00620748" w:rsidRDefault="00620748">
            <w:r>
              <w:t>spoření</w:t>
            </w:r>
          </w:p>
        </w:tc>
        <w:tc>
          <w:tcPr>
            <w:tcW w:w="3071" w:type="dxa"/>
          </w:tcPr>
          <w:p w14:paraId="77B6C1FA" w14:textId="159BE090" w:rsidR="00620748" w:rsidRDefault="00B23A4C" w:rsidP="00620748">
            <w:pPr>
              <w:jc w:val="center"/>
            </w:pPr>
            <w:r>
              <w:t>2</w:t>
            </w:r>
            <w:r w:rsidR="00620748">
              <w:t xml:space="preserve"> %</w:t>
            </w:r>
          </w:p>
        </w:tc>
        <w:tc>
          <w:tcPr>
            <w:tcW w:w="3071" w:type="dxa"/>
          </w:tcPr>
          <w:p w14:paraId="393C94D9" w14:textId="77777777" w:rsidR="00620748" w:rsidRDefault="00620748" w:rsidP="00620748">
            <w:pPr>
              <w:jc w:val="center"/>
            </w:pPr>
            <w:r>
              <w:t>0 %</w:t>
            </w:r>
          </w:p>
        </w:tc>
      </w:tr>
      <w:tr w:rsidR="00620748" w14:paraId="22DFF545" w14:textId="77777777" w:rsidTr="00620748">
        <w:tc>
          <w:tcPr>
            <w:tcW w:w="3070" w:type="dxa"/>
          </w:tcPr>
          <w:p w14:paraId="4B338020" w14:textId="77777777" w:rsidR="00620748" w:rsidRDefault="00620748">
            <w:r>
              <w:t>inflace</w:t>
            </w:r>
          </w:p>
        </w:tc>
        <w:tc>
          <w:tcPr>
            <w:tcW w:w="3071" w:type="dxa"/>
          </w:tcPr>
          <w:p w14:paraId="11C715BB" w14:textId="3A810FD2" w:rsidR="00620748" w:rsidRDefault="00B23A4C" w:rsidP="00620748">
            <w:pPr>
              <w:jc w:val="center"/>
            </w:pPr>
            <w:r>
              <w:t>3</w:t>
            </w:r>
            <w:r w:rsidR="00CE755B">
              <w:t xml:space="preserve"> </w:t>
            </w:r>
            <w:r w:rsidR="00620748">
              <w:t>%</w:t>
            </w:r>
          </w:p>
        </w:tc>
        <w:tc>
          <w:tcPr>
            <w:tcW w:w="3071" w:type="dxa"/>
          </w:tcPr>
          <w:p w14:paraId="1D997310" w14:textId="77777777" w:rsidR="00620748" w:rsidRDefault="00620748" w:rsidP="00620748">
            <w:pPr>
              <w:jc w:val="center"/>
            </w:pPr>
            <w:r>
              <w:t>0 %</w:t>
            </w:r>
          </w:p>
        </w:tc>
      </w:tr>
    </w:tbl>
    <w:p w14:paraId="04D12459" w14:textId="77777777" w:rsidR="003B28CB" w:rsidRDefault="003B28CB"/>
    <w:p w14:paraId="666C1A5C" w14:textId="3CDD9EE8" w:rsidR="00620748" w:rsidRDefault="001C4391">
      <w:r>
        <w:t>Spoření a inflace</w:t>
      </w:r>
      <w:r w:rsidR="00620748">
        <w:t xml:space="preserve"> mají nulovou variabilitu. V případě </w:t>
      </w:r>
      <w:r>
        <w:t>spoření</w:t>
      </w:r>
      <w:r w:rsidR="00620748">
        <w:t xml:space="preserve"> se jedná např. o </w:t>
      </w:r>
      <w:r>
        <w:t>spořicí</w:t>
      </w:r>
      <w:r w:rsidR="00620748">
        <w:t xml:space="preserve"> účet, nebo minimálně volatilní fond </w:t>
      </w:r>
      <w:r>
        <w:t>peněžního</w:t>
      </w:r>
      <w:r w:rsidR="00620748">
        <w:t xml:space="preserve"> trhu. Výše inflace </w:t>
      </w:r>
      <w:r w:rsidR="00B23A4C">
        <w:t>je o něco vyšší než obvyklý cíl</w:t>
      </w:r>
      <w:r w:rsidR="00620748">
        <w:t xml:space="preserve"> měnové politiky, pro </w:t>
      </w:r>
      <w:r>
        <w:t>jednoduchost</w:t>
      </w:r>
      <w:r w:rsidR="00620748">
        <w:t xml:space="preserve"> a čistotu modelu </w:t>
      </w:r>
      <w:r w:rsidR="00BC20E8">
        <w:t>je stanovena pevně</w:t>
      </w:r>
      <w:r w:rsidR="001D1B28">
        <w:t>.</w:t>
      </w:r>
      <w:r w:rsidR="008F3E72">
        <w:t xml:space="preserve"> </w:t>
      </w:r>
      <w:r w:rsidR="00620748">
        <w:t>Počet iterací simulac</w:t>
      </w:r>
      <w:r w:rsidR="001D1B28">
        <w:t>e</w:t>
      </w:r>
      <w:r w:rsidR="0055391C">
        <w:t xml:space="preserve"> je 10000. Pro výnosy je použito normální rozdělení, není uvažovaná specifická šikmost nebo špičatost.</w:t>
      </w:r>
    </w:p>
    <w:p w14:paraId="5C3C25D2" w14:textId="1D25F789" w:rsidR="005458E9" w:rsidRDefault="004D5461">
      <w:r>
        <w:t>Z obchodních důvodů by bylo možné zvážit přidat některé nižší kvantily (např. 75 %)</w:t>
      </w:r>
      <w:r w:rsidR="001C4391">
        <w:t xml:space="preserve"> vedle obvyklých 95 nebo 99 %</w:t>
      </w:r>
      <w:r>
        <w:t>, případně použít jinak zbarvený podklad na základě kvantilů</w:t>
      </w:r>
      <w:r w:rsidR="00B23A4C">
        <w:t>,</w:t>
      </w:r>
      <w:r>
        <w:t xml:space="preserve"> aby bylo zřejmé, že pravděpodobnost výsledků se vzdalová</w:t>
      </w:r>
      <w:r w:rsidR="00003DCA">
        <w:t>ním od střední hodnoty snižuje.</w:t>
      </w:r>
    </w:p>
    <w:p w14:paraId="0A83C06F" w14:textId="4A9BE624" w:rsidR="00003DCA" w:rsidRDefault="00FF0099">
      <w:r>
        <w:t>Simulaci by bylo možné dále rozšířit např. o více finančních cílů (v různých výších a časech), vývoj měr růstu v čase (např. jiná hodnota na začátku s postupným přechodem ke stabilní dlouhodobé hodnotě), nebo výpočty se státem dotovanými produkty, jako je penzijní spoření.</w:t>
      </w:r>
      <w:r w:rsidR="00C42390">
        <w:t xml:space="preserve"> V</w:t>
      </w:r>
      <w:r w:rsidR="00B23A4C">
        <w:t> </w:t>
      </w:r>
      <w:r w:rsidR="00C42390">
        <w:t>případě</w:t>
      </w:r>
      <w:r w:rsidR="00B23A4C">
        <w:t>,</w:t>
      </w:r>
      <w:r w:rsidR="00A51AB9">
        <w:t xml:space="preserve"> </w:t>
      </w:r>
      <w:r w:rsidR="00C42390">
        <w:t xml:space="preserve">že by </w:t>
      </w:r>
      <w:r w:rsidR="00C42390">
        <w:lastRenderedPageBreak/>
        <w:t xml:space="preserve">rozdělení měsíčních výnosů podkladových aktiv mělo </w:t>
      </w:r>
      <w:r w:rsidR="00D671E7">
        <w:t xml:space="preserve">výraznější </w:t>
      </w:r>
      <w:r w:rsidR="00A51AB9">
        <w:t>šikmost nebo</w:t>
      </w:r>
      <w:r w:rsidR="00C42390">
        <w:t xml:space="preserve"> </w:t>
      </w:r>
      <w:r w:rsidR="00D671E7">
        <w:t>špičatost</w:t>
      </w:r>
      <w:r w:rsidR="00C42390">
        <w:t xml:space="preserve">, bylo by vhodné </w:t>
      </w:r>
      <w:r w:rsidR="00D671E7">
        <w:t>je ve vzorcích zohlednit.</w:t>
      </w:r>
    </w:p>
    <w:p w14:paraId="7B7A1F50" w14:textId="56D41417" w:rsidR="007E33B4" w:rsidRDefault="007E33B4">
      <w:r>
        <w:t xml:space="preserve">V aplikaci je </w:t>
      </w:r>
      <w:r w:rsidR="00BC20E8">
        <w:t xml:space="preserve">také </w:t>
      </w:r>
      <w:r>
        <w:t xml:space="preserve">experimentálně </w:t>
      </w:r>
      <w:r w:rsidR="00BC20E8">
        <w:t xml:space="preserve">zahnut </w:t>
      </w:r>
      <w:r>
        <w:t xml:space="preserve">kód pro uplatnění </w:t>
      </w:r>
      <w:r w:rsidR="006162C0">
        <w:t>návratu</w:t>
      </w:r>
      <w:r>
        <w:t xml:space="preserve"> ke střední hodnotě (</w:t>
      </w:r>
      <w:r w:rsidR="00004A94">
        <w:t xml:space="preserve">inspirovaný </w:t>
      </w:r>
      <w:r>
        <w:t>Vašíčk</w:t>
      </w:r>
      <w:r w:rsidR="00004A94">
        <w:t>ovým</w:t>
      </w:r>
      <w:r>
        <w:t xml:space="preserve"> model</w:t>
      </w:r>
      <w:r w:rsidR="00004A94">
        <w:t>em</w:t>
      </w:r>
      <w:r>
        <w:t>), který omezuje extrémní hodnoty p</w:t>
      </w:r>
      <w:r w:rsidR="00BC20E8">
        <w:t xml:space="preserve">oskytované Monte Carlo simulací. </w:t>
      </w:r>
      <w:proofErr w:type="gramStart"/>
      <w:r w:rsidR="00BC20E8">
        <w:t>N</w:t>
      </w:r>
      <w:r>
        <w:t>ení</w:t>
      </w:r>
      <w:proofErr w:type="gramEnd"/>
      <w:r>
        <w:t xml:space="preserve"> ale parametrizován na základě reálných dat a je defaultně vypnutý.</w:t>
      </w:r>
    </w:p>
    <w:p w14:paraId="17103AB9" w14:textId="77777777" w:rsidR="005458E9" w:rsidRDefault="00747DC6">
      <w:r>
        <w:t>Podíly aktiv v jednotlivých profilech</w:t>
      </w:r>
    </w:p>
    <w:p w14:paraId="64A98C05" w14:textId="77777777" w:rsidR="005458E9" w:rsidRDefault="005458E9">
      <w:r>
        <w:rPr>
          <w:noProof/>
          <w:lang w:eastAsia="cs-CZ"/>
        </w:rPr>
        <w:drawing>
          <wp:inline distT="0" distB="0" distL="0" distR="0" wp14:anchorId="21C2311D" wp14:editId="31E2E440">
            <wp:extent cx="5760000" cy="2160000"/>
            <wp:effectExtent l="0" t="0" r="12700" b="12065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6D7A3A" w14:textId="77777777" w:rsidR="00003DCA" w:rsidRDefault="005458E9">
      <w:r>
        <w:rPr>
          <w:noProof/>
          <w:lang w:eastAsia="cs-CZ"/>
        </w:rPr>
        <w:drawing>
          <wp:inline distT="0" distB="0" distL="0" distR="0" wp14:anchorId="685B465C" wp14:editId="10A732D5">
            <wp:extent cx="5760000" cy="2160000"/>
            <wp:effectExtent l="0" t="0" r="12700" b="12065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F6D7D1" w14:textId="77777777" w:rsidR="005458E9" w:rsidRDefault="005458E9">
      <w:r>
        <w:rPr>
          <w:noProof/>
          <w:lang w:eastAsia="cs-CZ"/>
        </w:rPr>
        <w:drawing>
          <wp:inline distT="0" distB="0" distL="0" distR="0" wp14:anchorId="7955CF12" wp14:editId="6BF5E07E">
            <wp:extent cx="5760000" cy="2160000"/>
            <wp:effectExtent l="0" t="0" r="12700" b="1206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45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D7C4" w14:textId="77777777" w:rsidR="003F7DBA" w:rsidRDefault="003F7DBA" w:rsidP="005458E9">
      <w:pPr>
        <w:spacing w:after="0" w:line="240" w:lineRule="auto"/>
      </w:pPr>
      <w:r>
        <w:separator/>
      </w:r>
    </w:p>
  </w:endnote>
  <w:endnote w:type="continuationSeparator" w:id="0">
    <w:p w14:paraId="7D2D1181" w14:textId="77777777" w:rsidR="003F7DBA" w:rsidRDefault="003F7DBA" w:rsidP="0054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6CCA" w14:textId="77777777" w:rsidR="003F7DBA" w:rsidRDefault="003F7DBA" w:rsidP="005458E9">
      <w:pPr>
        <w:spacing w:after="0" w:line="240" w:lineRule="auto"/>
      </w:pPr>
      <w:r>
        <w:separator/>
      </w:r>
    </w:p>
  </w:footnote>
  <w:footnote w:type="continuationSeparator" w:id="0">
    <w:p w14:paraId="136360EC" w14:textId="77777777" w:rsidR="003F7DBA" w:rsidRDefault="003F7DBA" w:rsidP="0054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8E9"/>
    <w:rsid w:val="00003DCA"/>
    <w:rsid w:val="00004A94"/>
    <w:rsid w:val="00024C77"/>
    <w:rsid w:val="0006028C"/>
    <w:rsid w:val="0006722C"/>
    <w:rsid w:val="0007438D"/>
    <w:rsid w:val="000B1419"/>
    <w:rsid w:val="000F70B2"/>
    <w:rsid w:val="00103F24"/>
    <w:rsid w:val="001765B4"/>
    <w:rsid w:val="0019529D"/>
    <w:rsid w:val="0019586B"/>
    <w:rsid w:val="001C4391"/>
    <w:rsid w:val="001D1B28"/>
    <w:rsid w:val="001E097D"/>
    <w:rsid w:val="001E28A0"/>
    <w:rsid w:val="001E6CCF"/>
    <w:rsid w:val="002531DF"/>
    <w:rsid w:val="002E338D"/>
    <w:rsid w:val="00325C0D"/>
    <w:rsid w:val="0039068D"/>
    <w:rsid w:val="003B28CB"/>
    <w:rsid w:val="003B4FED"/>
    <w:rsid w:val="003F7DBA"/>
    <w:rsid w:val="004203B3"/>
    <w:rsid w:val="004D5461"/>
    <w:rsid w:val="004E58A8"/>
    <w:rsid w:val="00512125"/>
    <w:rsid w:val="00526D27"/>
    <w:rsid w:val="00527985"/>
    <w:rsid w:val="005426B4"/>
    <w:rsid w:val="005458E9"/>
    <w:rsid w:val="0055391C"/>
    <w:rsid w:val="00574DFC"/>
    <w:rsid w:val="005838A8"/>
    <w:rsid w:val="005866C9"/>
    <w:rsid w:val="00597A08"/>
    <w:rsid w:val="005B4EFE"/>
    <w:rsid w:val="0061293B"/>
    <w:rsid w:val="006162C0"/>
    <w:rsid w:val="00620748"/>
    <w:rsid w:val="00707C65"/>
    <w:rsid w:val="00724A29"/>
    <w:rsid w:val="00747DC6"/>
    <w:rsid w:val="007E33B4"/>
    <w:rsid w:val="00824553"/>
    <w:rsid w:val="00863649"/>
    <w:rsid w:val="00883F17"/>
    <w:rsid w:val="008F3E72"/>
    <w:rsid w:val="0090440F"/>
    <w:rsid w:val="00943785"/>
    <w:rsid w:val="009E7BD2"/>
    <w:rsid w:val="00A219C7"/>
    <w:rsid w:val="00A27F86"/>
    <w:rsid w:val="00A51932"/>
    <w:rsid w:val="00A51AB9"/>
    <w:rsid w:val="00A67830"/>
    <w:rsid w:val="00AD5809"/>
    <w:rsid w:val="00AE2AD1"/>
    <w:rsid w:val="00B23A4C"/>
    <w:rsid w:val="00BC20E8"/>
    <w:rsid w:val="00C42390"/>
    <w:rsid w:val="00C47225"/>
    <w:rsid w:val="00C60A22"/>
    <w:rsid w:val="00C67528"/>
    <w:rsid w:val="00C76FA9"/>
    <w:rsid w:val="00CB3B2B"/>
    <w:rsid w:val="00CE755B"/>
    <w:rsid w:val="00D144B3"/>
    <w:rsid w:val="00D34C56"/>
    <w:rsid w:val="00D34DDA"/>
    <w:rsid w:val="00D671E7"/>
    <w:rsid w:val="00DB3B85"/>
    <w:rsid w:val="00DC7643"/>
    <w:rsid w:val="00DF50ED"/>
    <w:rsid w:val="00E05EF2"/>
    <w:rsid w:val="00E17362"/>
    <w:rsid w:val="00E80F94"/>
    <w:rsid w:val="00E85E60"/>
    <w:rsid w:val="00F330C4"/>
    <w:rsid w:val="00F96CC0"/>
    <w:rsid w:val="00FF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BAB29"/>
  <w15:docId w15:val="{72E4D117-FA0A-4D4E-9962-AE73CC4E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4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458E9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620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tafr\Desktop\podily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tafr\Desktop\podily.txt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tafr\Desktop\podily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podily!$B$1</c:f>
              <c:strCache>
                <c:ptCount val="1"/>
                <c:pt idx="0">
                  <c:v> akcie (dynamický)</c:v>
                </c:pt>
              </c:strCache>
            </c:strRef>
          </c:tx>
          <c:val>
            <c:numRef>
              <c:f>podily!$B$2:$B$21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0.9</c:v>
                </c:pt>
                <c:pt idx="11">
                  <c:v>0.8</c:v>
                </c:pt>
                <c:pt idx="12">
                  <c:v>0.7</c:v>
                </c:pt>
                <c:pt idx="13">
                  <c:v>0.6</c:v>
                </c:pt>
                <c:pt idx="14">
                  <c:v>0.5</c:v>
                </c:pt>
                <c:pt idx="15">
                  <c:v>0.4</c:v>
                </c:pt>
                <c:pt idx="16">
                  <c:v>0.3</c:v>
                </c:pt>
                <c:pt idx="17">
                  <c:v>0.2</c:v>
                </c:pt>
                <c:pt idx="18">
                  <c:v>0.1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4-46A0-AF0A-1A0BFA840D1F}"/>
            </c:ext>
          </c:extLst>
        </c:ser>
        <c:ser>
          <c:idx val="1"/>
          <c:order val="1"/>
          <c:tx>
            <c:strRef>
              <c:f>podily!$C$1</c:f>
              <c:strCache>
                <c:ptCount val="1"/>
                <c:pt idx="0">
                  <c:v> dluhopisy (dynamický)</c:v>
                </c:pt>
              </c:strCache>
            </c:strRef>
          </c:tx>
          <c:val>
            <c:numRef>
              <c:f>podily!$C$2:$C$21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0.1</c:v>
                </c:pt>
                <c:pt idx="11">
                  <c:v>0.2</c:v>
                </c:pt>
                <c:pt idx="12">
                  <c:v>0.3</c:v>
                </c:pt>
                <c:pt idx="13">
                  <c:v>0.4</c:v>
                </c:pt>
                <c:pt idx="14">
                  <c:v>0.5</c:v>
                </c:pt>
                <c:pt idx="15">
                  <c:v>0.4</c:v>
                </c:pt>
                <c:pt idx="16">
                  <c:v>0.3</c:v>
                </c:pt>
                <c:pt idx="17">
                  <c:v>0.2</c:v>
                </c:pt>
                <c:pt idx="18">
                  <c:v>0.1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F4-46A0-AF0A-1A0BFA840D1F}"/>
            </c:ext>
          </c:extLst>
        </c:ser>
        <c:ser>
          <c:idx val="2"/>
          <c:order val="2"/>
          <c:tx>
            <c:strRef>
              <c:f>podily!$D$1</c:f>
              <c:strCache>
                <c:ptCount val="1"/>
                <c:pt idx="0">
                  <c:v> spoření (dynamický)</c:v>
                </c:pt>
              </c:strCache>
            </c:strRef>
          </c:tx>
          <c:val>
            <c:numRef>
              <c:f>podily!$D$2:$D$21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0.2</c:v>
                </c:pt>
                <c:pt idx="16">
                  <c:v>0.4</c:v>
                </c:pt>
                <c:pt idx="17">
                  <c:v>0.6</c:v>
                </c:pt>
                <c:pt idx="18">
                  <c:v>0.8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F4-46A0-AF0A-1A0BFA840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165056"/>
        <c:axId val="369166592"/>
      </c:areaChart>
      <c:catAx>
        <c:axId val="369165056"/>
        <c:scaling>
          <c:orientation val="minMax"/>
        </c:scaling>
        <c:delete val="0"/>
        <c:axPos val="b"/>
        <c:majorTickMark val="out"/>
        <c:minorTickMark val="none"/>
        <c:tickLblPos val="nextTo"/>
        <c:crossAx val="369166592"/>
        <c:crosses val="autoZero"/>
        <c:auto val="1"/>
        <c:lblAlgn val="ctr"/>
        <c:lblOffset val="100"/>
        <c:noMultiLvlLbl val="0"/>
      </c:catAx>
      <c:valAx>
        <c:axId val="36916659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369165056"/>
        <c:crosses val="autoZero"/>
        <c:crossBetween val="midCat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podily!$E$1</c:f>
              <c:strCache>
                <c:ptCount val="1"/>
                <c:pt idx="0">
                  <c:v> akcie (vyvážený)</c:v>
                </c:pt>
              </c:strCache>
            </c:strRef>
          </c:tx>
          <c:val>
            <c:numRef>
              <c:f>podily!$E$2:$E$21</c:f>
              <c:numCache>
                <c:formatCode>General</c:formatCode>
                <c:ptCount val="2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0.45</c:v>
                </c:pt>
                <c:pt idx="11">
                  <c:v>0.4</c:v>
                </c:pt>
                <c:pt idx="12">
                  <c:v>0.35</c:v>
                </c:pt>
                <c:pt idx="13">
                  <c:v>0.3</c:v>
                </c:pt>
                <c:pt idx="14">
                  <c:v>0.25</c:v>
                </c:pt>
                <c:pt idx="15">
                  <c:v>0.2</c:v>
                </c:pt>
                <c:pt idx="16">
                  <c:v>0.15</c:v>
                </c:pt>
                <c:pt idx="17">
                  <c:v>0.1</c:v>
                </c:pt>
                <c:pt idx="18">
                  <c:v>0.05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3-4BAD-9B58-355E6D7E1D6A}"/>
            </c:ext>
          </c:extLst>
        </c:ser>
        <c:ser>
          <c:idx val="1"/>
          <c:order val="1"/>
          <c:tx>
            <c:strRef>
              <c:f>podily!$F$1</c:f>
              <c:strCache>
                <c:ptCount val="1"/>
                <c:pt idx="0">
                  <c:v> dluhopisy (vyvážený)</c:v>
                </c:pt>
              </c:strCache>
            </c:strRef>
          </c:tx>
          <c:val>
            <c:numRef>
              <c:f>podily!$F$2:$F$21</c:f>
              <c:numCache>
                <c:formatCode>General</c:formatCode>
                <c:ptCount val="2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0.6</c:v>
                </c:pt>
                <c:pt idx="16">
                  <c:v>0.45</c:v>
                </c:pt>
                <c:pt idx="17">
                  <c:v>0.3</c:v>
                </c:pt>
                <c:pt idx="18">
                  <c:v>0.15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43-4BAD-9B58-355E6D7E1D6A}"/>
            </c:ext>
          </c:extLst>
        </c:ser>
        <c:ser>
          <c:idx val="2"/>
          <c:order val="2"/>
          <c:tx>
            <c:strRef>
              <c:f>podily!$G$1</c:f>
              <c:strCache>
                <c:ptCount val="1"/>
                <c:pt idx="0">
                  <c:v> spoření (vyvážený)</c:v>
                </c:pt>
              </c:strCache>
            </c:strRef>
          </c:tx>
          <c:val>
            <c:numRef>
              <c:f>podily!$G$2:$G$21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0.2</c:v>
                </c:pt>
                <c:pt idx="16">
                  <c:v>0.4</c:v>
                </c:pt>
                <c:pt idx="17">
                  <c:v>0.6</c:v>
                </c:pt>
                <c:pt idx="18">
                  <c:v>0.8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43-4BAD-9B58-355E6D7E1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175936"/>
        <c:axId val="369190016"/>
      </c:areaChart>
      <c:catAx>
        <c:axId val="369175936"/>
        <c:scaling>
          <c:orientation val="minMax"/>
        </c:scaling>
        <c:delete val="0"/>
        <c:axPos val="b"/>
        <c:majorTickMark val="out"/>
        <c:minorTickMark val="none"/>
        <c:tickLblPos val="nextTo"/>
        <c:crossAx val="369190016"/>
        <c:crosses val="autoZero"/>
        <c:auto val="1"/>
        <c:lblAlgn val="ctr"/>
        <c:lblOffset val="100"/>
        <c:noMultiLvlLbl val="0"/>
      </c:catAx>
      <c:valAx>
        <c:axId val="3691900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369175936"/>
        <c:crosses val="autoZero"/>
        <c:crossBetween val="midCat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podily!$H$1</c:f>
              <c:strCache>
                <c:ptCount val="1"/>
                <c:pt idx="0">
                  <c:v> akcie (konzervativní)</c:v>
                </c:pt>
              </c:strCache>
            </c:strRef>
          </c:tx>
          <c:val>
            <c:numRef>
              <c:f>podily!$H$2:$H$21</c:f>
              <c:numCache>
                <c:formatCode>General</c:formatCode>
                <c:ptCount val="20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0.22500000000000001</c:v>
                </c:pt>
                <c:pt idx="11">
                  <c:v>0.2</c:v>
                </c:pt>
                <c:pt idx="12">
                  <c:v>0.17499999999999999</c:v>
                </c:pt>
                <c:pt idx="13">
                  <c:v>0.15</c:v>
                </c:pt>
                <c:pt idx="14">
                  <c:v>0.125</c:v>
                </c:pt>
                <c:pt idx="15">
                  <c:v>0.1</c:v>
                </c:pt>
                <c:pt idx="16">
                  <c:v>7.4999999999999997E-2</c:v>
                </c:pt>
                <c:pt idx="17">
                  <c:v>0.05</c:v>
                </c:pt>
                <c:pt idx="18">
                  <c:v>2.5000000000000001E-2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63-4871-8312-E1EBCF357065}"/>
            </c:ext>
          </c:extLst>
        </c:ser>
        <c:ser>
          <c:idx val="1"/>
          <c:order val="1"/>
          <c:tx>
            <c:strRef>
              <c:f>podily!$I$1</c:f>
              <c:strCache>
                <c:ptCount val="1"/>
                <c:pt idx="0">
                  <c:v> dluhopisy (konzervativní)</c:v>
                </c:pt>
              </c:strCache>
            </c:strRef>
          </c:tx>
          <c:val>
            <c:numRef>
              <c:f>podily!$I$2:$I$21</c:f>
              <c:numCache>
                <c:formatCode>General</c:formatCode>
                <c:ptCount val="20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0.3</c:v>
                </c:pt>
                <c:pt idx="16">
                  <c:v>0.22500000000000001</c:v>
                </c:pt>
                <c:pt idx="17">
                  <c:v>0.15</c:v>
                </c:pt>
                <c:pt idx="18">
                  <c:v>7.4999999999999997E-2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63-4871-8312-E1EBCF357065}"/>
            </c:ext>
          </c:extLst>
        </c:ser>
        <c:ser>
          <c:idx val="2"/>
          <c:order val="2"/>
          <c:tx>
            <c:strRef>
              <c:f>podily!$J$1</c:f>
              <c:strCache>
                <c:ptCount val="1"/>
                <c:pt idx="0">
                  <c:v> spoření (konzervativní)</c:v>
                </c:pt>
              </c:strCache>
            </c:strRef>
          </c:tx>
          <c:val>
            <c:numRef>
              <c:f>podily!$J$2:$J$21</c:f>
              <c:numCache>
                <c:formatCode>General</c:formatCode>
                <c:ptCount val="2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0.6</c:v>
                </c:pt>
                <c:pt idx="16">
                  <c:v>0.7</c:v>
                </c:pt>
                <c:pt idx="17">
                  <c:v>0.8</c:v>
                </c:pt>
                <c:pt idx="18">
                  <c:v>0.9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63-4871-8312-E1EBCF357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223936"/>
        <c:axId val="369295360"/>
      </c:areaChart>
      <c:catAx>
        <c:axId val="369223936"/>
        <c:scaling>
          <c:orientation val="minMax"/>
        </c:scaling>
        <c:delete val="0"/>
        <c:axPos val="b"/>
        <c:majorTickMark val="out"/>
        <c:minorTickMark val="none"/>
        <c:tickLblPos val="nextTo"/>
        <c:crossAx val="369295360"/>
        <c:crosses val="autoZero"/>
        <c:auto val="1"/>
        <c:lblAlgn val="ctr"/>
        <c:lblOffset val="100"/>
        <c:noMultiLvlLbl val="0"/>
      </c:catAx>
      <c:valAx>
        <c:axId val="36929536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369223936"/>
        <c:crosses val="autoZero"/>
        <c:crossBetween val="midCat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534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PRECIOSA, a.s.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Bárta František</dc:creator>
  <cp:lastModifiedBy>Bárta František</cp:lastModifiedBy>
  <cp:revision>28</cp:revision>
  <cp:lastPrinted>2020-08-14T11:56:00Z</cp:lastPrinted>
  <dcterms:created xsi:type="dcterms:W3CDTF">2020-08-11T11:55:00Z</dcterms:created>
  <dcterms:modified xsi:type="dcterms:W3CDTF">2023-01-27T10:16:00Z</dcterms:modified>
</cp:coreProperties>
</file>