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sz w:val="38"/>
          <w:szCs w:val="38"/>
        </w:rPr>
      </w:pPr>
      <w:bookmarkStart w:id="0" w:name="_cne8dq2zgc1e"/>
      <w:bookmarkEnd w:id="0"/>
      <w:r>
        <w:rPr>
          <w:sz w:val="38"/>
          <w:szCs w:val="38"/>
        </w:rPr>
        <w:t>Estimación de Puntos de Función del proyecto</w:t>
      </w:r>
    </w:p>
    <w:p>
      <w:pPr>
        <w:pStyle w:val="normal1"/>
        <w:rPr/>
      </w:pPr>
      <w:r>
        <w:rPr/>
      </w:r>
    </w:p>
    <w:p>
      <w:pPr>
        <w:pStyle w:val="Subtitle"/>
        <w:rPr>
          <w:b/>
          <w:bCs/>
          <w:color w:val="000000"/>
        </w:rPr>
      </w:pPr>
      <w:bookmarkStart w:id="1" w:name="_34aqv9ik5opq"/>
      <w:bookmarkEnd w:id="1"/>
      <w:r>
        <w:rPr>
          <w:b/>
          <w:bCs/>
          <w:color w:val="000000"/>
        </w:rPr>
        <w:t>Tablas de cada módulo:</w:t>
      </w:r>
    </w:p>
    <w:p>
      <w:pPr>
        <w:pStyle w:val="normal1"/>
        <w:rPr/>
      </w:pPr>
      <w:r>
        <w:rPr/>
        <w:t>M1 - Carta</w:t>
      </w:r>
    </w:p>
    <w:p>
      <w:pPr>
        <w:pStyle w:val="normal1"/>
        <w:rPr/>
      </w:pPr>
      <w:r>
        <w:rPr/>
      </w:r>
    </w:p>
    <w:p>
      <w:pPr>
        <w:pStyle w:val="normal1"/>
        <w:rPr/>
      </w:pPr>
      <w:r>
        <w:rPr/>
      </w:r>
    </w:p>
    <w:tbl>
      <w:tblPr>
        <w:tblStyle w:val="Table1"/>
        <w:tblW w:w="8940" w:type="dxa"/>
        <w:jc w:val="start"/>
        <w:tblInd w:w="0" w:type="dxa"/>
        <w:tblLayout w:type="fixed"/>
        <w:tblCellMar>
          <w:top w:w="100" w:type="dxa"/>
          <w:start w:w="100" w:type="dxa"/>
          <w:bottom w:w="100" w:type="dxa"/>
          <w:end w:w="100" w:type="dxa"/>
        </w:tblCellMar>
        <w:tblLook w:val="0600"/>
      </w:tblPr>
      <w:tblGrid>
        <w:gridCol w:w="1365"/>
        <w:gridCol w:w="5849"/>
        <w:gridCol w:w="871"/>
        <w:gridCol w:w="855"/>
      </w:tblGrid>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HU</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Función o entidad</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Tipo</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Puntos</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Producto</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Sección</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HU-M1-01</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 plato</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HU-M1-02</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plato</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HU-M1-03</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Dar de baja un plato</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HU-M1-04</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 postre</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HU-M1-05</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postre</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HU-M1-06</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Dar de baja un postre</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HU-M1-07</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bebida</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HU-M1-08</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una bebida</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HU-M1-09</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Dar de baja una bebida</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HU-M1-10</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sección carta</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HU-M1-11</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una sección</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HU-M1-12</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Dar de baja una sección</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HU-M1-13</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los productos</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HU-M1-14</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la carta</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EQ</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HU-M1-15</w:t>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el reporte &lt;Productos más vendidos por periodo&gt;</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5849"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TOTAL DEL MODULO</w:t>
            </w:r>
          </w:p>
        </w:tc>
        <w:tc>
          <w:tcPr>
            <w:tcW w:w="87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85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82</w:t>
            </w:r>
          </w:p>
        </w:tc>
      </w:tr>
    </w:tbl>
    <w:p>
      <w:pPr>
        <w:pStyle w:val="normal1"/>
        <w:rPr/>
      </w:pPr>
      <w:r>
        <w:rPr/>
      </w:r>
    </w:p>
    <w:p>
      <w:pPr>
        <w:pStyle w:val="normal1"/>
        <w:rPr/>
      </w:pPr>
      <w:r>
        <w:rPr/>
      </w:r>
    </w:p>
    <w:p>
      <w:pPr>
        <w:pStyle w:val="normal1"/>
        <w:rPr/>
      </w:pPr>
      <w:r>
        <w:rPr/>
      </w:r>
      <w:r>
        <w:br w:type="page"/>
      </w:r>
    </w:p>
    <w:p>
      <w:pPr>
        <w:pStyle w:val="normal1"/>
        <w:spacing w:before="0" w:after="0"/>
        <w:rPr/>
      </w:pPr>
      <w:r>
        <w:rPr/>
        <w:t>M2 - Menús y Promociones</w:t>
      </w:r>
    </w:p>
    <w:p>
      <w:pPr>
        <w:pStyle w:val="normal1"/>
        <w:rPr>
          <w:sz w:val="18"/>
          <w:szCs w:val="18"/>
        </w:rPr>
      </w:pPr>
      <w:r>
        <w:rPr>
          <w:sz w:val="18"/>
          <w:szCs w:val="18"/>
        </w:rPr>
      </w:r>
    </w:p>
    <w:p>
      <w:pPr>
        <w:pStyle w:val="normal1"/>
        <w:rPr>
          <w:sz w:val="18"/>
          <w:szCs w:val="18"/>
        </w:rPr>
      </w:pPr>
      <w:r>
        <w:rPr>
          <w:sz w:val="18"/>
          <w:szCs w:val="18"/>
        </w:rPr>
      </w:r>
    </w:p>
    <w:tbl>
      <w:tblPr>
        <w:tblStyle w:val="Table2"/>
        <w:tblW w:w="8940" w:type="dxa"/>
        <w:jc w:val="start"/>
        <w:tblInd w:w="0" w:type="dxa"/>
        <w:tblLayout w:type="fixed"/>
        <w:tblCellMar>
          <w:top w:w="100" w:type="dxa"/>
          <w:start w:w="100" w:type="dxa"/>
          <w:bottom w:w="100" w:type="dxa"/>
          <w:end w:w="100" w:type="dxa"/>
        </w:tblCellMar>
        <w:tblLook w:val="0600"/>
      </w:tblPr>
      <w:tblGrid>
        <w:gridCol w:w="1365"/>
        <w:gridCol w:w="6074"/>
        <w:gridCol w:w="706"/>
        <w:gridCol w:w="795"/>
      </w:tblGrid>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HU</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Función o entidad</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Tipo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Puntos</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MenuEjecutivo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Promocion</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HU-M2-01</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 menú ejecutivo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HU-M2-02</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menú ejecutivo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HU-M2-03</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Eliminar un menú ejecutivo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HU-M2-04</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 menú del día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HU-M2-05</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menú del día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HU-M2-06</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Eliminar un menú del día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HU-M2-07</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promoción</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HU-M2-08</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una promoción</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HU-M2-09</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Finalizar una promoción</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HU-M2-10</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el reporte «ventas de menús y promociones por período»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TOTAL DEL MODULO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61</w:t>
            </w:r>
          </w:p>
        </w:tc>
      </w:tr>
    </w:tbl>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r>
        <w:br w:type="page"/>
      </w:r>
    </w:p>
    <w:p>
      <w:pPr>
        <w:pStyle w:val="normal1"/>
        <w:spacing w:before="0" w:after="0"/>
        <w:rPr/>
      </w:pPr>
      <w:r>
        <w:rPr/>
        <w:t>M3 - Salon y Mozos</w:t>
      </w:r>
    </w:p>
    <w:p>
      <w:pPr>
        <w:pStyle w:val="normal1"/>
        <w:rPr/>
      </w:pPr>
      <w:r>
        <w:rPr/>
      </w:r>
    </w:p>
    <w:p>
      <w:pPr>
        <w:pStyle w:val="normal1"/>
        <w:rPr/>
      </w:pPr>
      <w:r>
        <w:rPr/>
      </w:r>
    </w:p>
    <w:tbl>
      <w:tblPr>
        <w:tblStyle w:val="Table3"/>
        <w:tblW w:w="8940" w:type="dxa"/>
        <w:jc w:val="start"/>
        <w:tblInd w:w="0" w:type="dxa"/>
        <w:tblLayout w:type="fixed"/>
        <w:tblCellMar>
          <w:top w:w="100" w:type="dxa"/>
          <w:start w:w="100" w:type="dxa"/>
          <w:bottom w:w="100" w:type="dxa"/>
          <w:end w:w="100" w:type="dxa"/>
        </w:tblCellMar>
        <w:tblLook w:val="0600"/>
      </w:tblPr>
      <w:tblGrid>
        <w:gridCol w:w="1365"/>
        <w:gridCol w:w="5864"/>
        <w:gridCol w:w="841"/>
        <w:gridCol w:w="870"/>
      </w:tblGrid>
      <w:tr>
        <w:trPr>
          <w:trHeight w:val="386" w:hRule="atLeast"/>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HU</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Función o entidad</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Tipo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Puntos</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Sector</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Mesa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Mozo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-01</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Agregar un sector</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-02</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sector</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-03</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Eliminar un sector</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-04</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los sectores</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-05</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mesa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-06</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una mesa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-07</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Eliminar una mesa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-08</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las mesas</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-09</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Dar de alta un mozo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-10</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mozo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-11</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Dar de baja un mozo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rHeight w:val="401" w:hRule="atLeast"/>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-12</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los mozos</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2</w:t>
            </w:r>
            <w:r>
              <w:rPr>
                <w:sz w:val="18"/>
                <w:szCs w:val="18"/>
              </w:rPr>
              <w:t>-13</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el reporte «mesas atendidas y ventas por mozo»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TOTAL DEL MÓDULO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86</w:t>
            </w:r>
          </w:p>
        </w:tc>
      </w:tr>
    </w:tbl>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r>
        <w:br w:type="page"/>
      </w:r>
    </w:p>
    <w:p>
      <w:pPr>
        <w:pStyle w:val="normal1"/>
        <w:spacing w:before="0" w:after="0"/>
        <w:rPr/>
      </w:pPr>
      <w:r>
        <w:rPr/>
        <w:t>M4 - Atención al Público</w:t>
      </w:r>
    </w:p>
    <w:p>
      <w:pPr>
        <w:pStyle w:val="normal1"/>
        <w:rPr/>
      </w:pPr>
      <w:r>
        <w:rPr/>
      </w:r>
    </w:p>
    <w:p>
      <w:pPr>
        <w:pStyle w:val="normal1"/>
        <w:rPr/>
      </w:pPr>
      <w:r>
        <w:rPr/>
      </w:r>
    </w:p>
    <w:tbl>
      <w:tblPr>
        <w:tblStyle w:val="Table4"/>
        <w:tblW w:w="8940" w:type="dxa"/>
        <w:jc w:val="start"/>
        <w:tblInd w:w="0" w:type="dxa"/>
        <w:tblLayout w:type="fixed"/>
        <w:tblCellMar>
          <w:top w:w="100" w:type="dxa"/>
          <w:start w:w="100" w:type="dxa"/>
          <w:bottom w:w="100" w:type="dxa"/>
          <w:end w:w="100" w:type="dxa"/>
        </w:tblCellMar>
        <w:tblLook w:val="0600"/>
      </w:tblPr>
      <w:tblGrid>
        <w:gridCol w:w="1365"/>
        <w:gridCol w:w="5864"/>
        <w:gridCol w:w="841"/>
        <w:gridCol w:w="870"/>
      </w:tblGrid>
      <w:tr>
        <w:trPr>
          <w:trHeight w:val="386" w:hRule="atLeast"/>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HU</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Función o entidad</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Tipo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Puntos</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Comanda (con su detalle)</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Cliente</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-01</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 cliente</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-02</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cliente</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-03</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los clientes</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-04</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comanda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-05</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una comanda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-06</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Eliminar una comanda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-07</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las comandas</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-08</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Marcar un producto como entregado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-09</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Cerrar una comanda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-10</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Reabrir una comanda</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4</w:t>
            </w:r>
            <w:r>
              <w:rPr>
                <w:sz w:val="18"/>
                <w:szCs w:val="18"/>
              </w:rPr>
              <w:t>-11</w:t>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el reporte «comandas y ticket promedio por día/turno»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586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TOTAL DEL MÓDULO</w:t>
            </w:r>
          </w:p>
        </w:tc>
        <w:tc>
          <w:tcPr>
            <w:tcW w:w="841"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67</w:t>
            </w:r>
          </w:p>
        </w:tc>
      </w:tr>
    </w:tbl>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r>
        <w:br w:type="page"/>
      </w:r>
    </w:p>
    <w:p>
      <w:pPr>
        <w:pStyle w:val="normal1"/>
        <w:spacing w:before="0" w:after="0"/>
        <w:rPr/>
      </w:pPr>
      <w:r>
        <w:rPr/>
        <w:t>M5 - Reservas</w:t>
      </w:r>
    </w:p>
    <w:p>
      <w:pPr>
        <w:pStyle w:val="normal1"/>
        <w:rPr>
          <w:sz w:val="18"/>
          <w:szCs w:val="18"/>
        </w:rPr>
      </w:pPr>
      <w:r>
        <w:rPr>
          <w:sz w:val="18"/>
          <w:szCs w:val="18"/>
        </w:rPr>
      </w:r>
    </w:p>
    <w:p>
      <w:pPr>
        <w:pStyle w:val="normal1"/>
        <w:rPr>
          <w:sz w:val="18"/>
          <w:szCs w:val="18"/>
        </w:rPr>
      </w:pPr>
      <w:r>
        <w:rPr>
          <w:sz w:val="18"/>
          <w:szCs w:val="18"/>
        </w:rPr>
      </w:r>
    </w:p>
    <w:tbl>
      <w:tblPr>
        <w:tblStyle w:val="Table5"/>
        <w:tblW w:w="8940" w:type="dxa"/>
        <w:jc w:val="start"/>
        <w:tblInd w:w="0" w:type="dxa"/>
        <w:tblLayout w:type="fixed"/>
        <w:tblCellMar>
          <w:top w:w="100" w:type="dxa"/>
          <w:start w:w="100" w:type="dxa"/>
          <w:bottom w:w="100" w:type="dxa"/>
          <w:end w:w="100" w:type="dxa"/>
        </w:tblCellMar>
        <w:tblLook w:val="0600"/>
      </w:tblPr>
      <w:tblGrid>
        <w:gridCol w:w="1365"/>
        <w:gridCol w:w="6074"/>
        <w:gridCol w:w="706"/>
        <w:gridCol w:w="795"/>
      </w:tblGrid>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HU</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Función o entidad</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Tipo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Puntos</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Reserva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-01</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reserva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-02</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una reserva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-03</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las reservas</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-04</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Cancelar una reserva anticipadamente</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-05</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Cancelar una reserva por ausencia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-06</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una comanda a partir de una reserva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w:t>
            </w:r>
            <w:r>
              <w:rPr>
                <w:sz w:val="18"/>
                <w:szCs w:val="18"/>
              </w:rPr>
              <w:t>5</w:t>
            </w:r>
            <w:r>
              <w:rPr>
                <w:sz w:val="18"/>
                <w:szCs w:val="18"/>
              </w:rPr>
              <w:t>-07</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el reporte «reservas y ausentismo por período»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TOTAL DEL MÓDULO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40</w:t>
            </w:r>
          </w:p>
        </w:tc>
      </w:tr>
    </w:tbl>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r>
        <w:br w:type="page"/>
      </w:r>
    </w:p>
    <w:p>
      <w:pPr>
        <w:pStyle w:val="normal1"/>
        <w:spacing w:before="0" w:after="0"/>
        <w:rPr/>
      </w:pPr>
      <w:r>
        <w:rPr/>
        <w:t>M6 - Pagos</w:t>
      </w:r>
    </w:p>
    <w:p>
      <w:pPr>
        <w:pStyle w:val="normal1"/>
        <w:rPr>
          <w:sz w:val="18"/>
          <w:szCs w:val="18"/>
        </w:rPr>
      </w:pPr>
      <w:r>
        <w:rPr>
          <w:sz w:val="18"/>
          <w:szCs w:val="18"/>
        </w:rPr>
      </w:r>
    </w:p>
    <w:p>
      <w:pPr>
        <w:pStyle w:val="normal1"/>
        <w:rPr>
          <w:sz w:val="18"/>
          <w:szCs w:val="18"/>
        </w:rPr>
      </w:pPr>
      <w:r>
        <w:rPr>
          <w:sz w:val="18"/>
          <w:szCs w:val="18"/>
        </w:rPr>
      </w:r>
    </w:p>
    <w:tbl>
      <w:tblPr>
        <w:tblStyle w:val="Table6"/>
        <w:tblW w:w="8940" w:type="dxa"/>
        <w:jc w:val="start"/>
        <w:tblInd w:w="0" w:type="dxa"/>
        <w:tblLayout w:type="fixed"/>
        <w:tblCellMar>
          <w:top w:w="100" w:type="dxa"/>
          <w:start w:w="100" w:type="dxa"/>
          <w:bottom w:w="100" w:type="dxa"/>
          <w:end w:w="100" w:type="dxa"/>
        </w:tblCellMar>
        <w:tblLook w:val="0600"/>
      </w:tblPr>
      <w:tblGrid>
        <w:gridCol w:w="1365"/>
        <w:gridCol w:w="6074"/>
        <w:gridCol w:w="706"/>
        <w:gridCol w:w="795"/>
      </w:tblGrid>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HU</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Función o entidad</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Tipo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Puntos</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Factura (con su detalle)</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Cobro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jc w:val="center"/>
              <w:rPr>
                <w:sz w:val="18"/>
                <w:szCs w:val="18"/>
              </w:rPr>
            </w:pPr>
            <w:r>
              <w:rPr>
                <w:sz w:val="18"/>
                <w:szCs w:val="18"/>
              </w:rPr>
              <w:t>-</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MedioPago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ILF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10</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HU-M6-01</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Generar la factura de una comanda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HU-M6-02</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Cobrar una factura adeudada</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HU-M6-03</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Generar el comprobante de pago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EQ</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HU-M6-04</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Crear un medio de pago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HU-M6-05</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Modificar un medio de pago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HU-M6-06</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Eliminar un medio de pago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EI</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4</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HU-M6-07</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Listar los medios de pago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HU-M6-08</w:t>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Ver el reporte «recaudación por medio de pago y deuda pendiente»</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EO</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5</w:t>
            </w:r>
          </w:p>
        </w:tc>
      </w:tr>
      <w:tr>
        <w:trPr/>
        <w:tc>
          <w:tcPr>
            <w:tcW w:w="13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6074"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TOTAL DEL MÓDULO</w:t>
            </w:r>
          </w:p>
        </w:tc>
        <w:tc>
          <w:tcPr>
            <w:tcW w:w="70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sz w:val="18"/>
                <w:szCs w:val="18"/>
              </w:rPr>
            </w:pPr>
            <w:r>
              <w:rPr>
                <w:sz w:val="18"/>
                <w:szCs w:val="18"/>
              </w:rPr>
              <w:t>64</w:t>
            </w:r>
          </w:p>
        </w:tc>
      </w:tr>
    </w:tbl>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p>
    <w:p>
      <w:pPr>
        <w:pStyle w:val="normal1"/>
        <w:rPr>
          <w:sz w:val="18"/>
          <w:szCs w:val="18"/>
        </w:rPr>
      </w:pPr>
      <w:r>
        <w:rPr>
          <w:sz w:val="18"/>
          <w:szCs w:val="18"/>
        </w:rPr>
      </w:r>
    </w:p>
    <w:p>
      <w:pPr>
        <w:pStyle w:val="Subtitle"/>
        <w:rPr>
          <w:b/>
          <w:bCs/>
        </w:rPr>
      </w:pPr>
      <w:bookmarkStart w:id="2" w:name="_9nyjjullr0vs"/>
      <w:bookmarkEnd w:id="2"/>
      <w:r>
        <w:rPr>
          <w:b/>
          <w:bCs/>
          <w:color w:val="000000"/>
        </w:rPr>
        <w:t>Resumen de puntos de función:</w:t>
      </w:r>
    </w:p>
    <w:tbl>
      <w:tblPr>
        <w:tblStyle w:val="Table7"/>
        <w:tblW w:w="8925" w:type="dxa"/>
        <w:jc w:val="start"/>
        <w:tblInd w:w="0" w:type="dxa"/>
        <w:tblLayout w:type="fixed"/>
        <w:tblCellMar>
          <w:top w:w="100" w:type="dxa"/>
          <w:start w:w="100" w:type="dxa"/>
          <w:bottom w:w="100" w:type="dxa"/>
          <w:end w:w="100" w:type="dxa"/>
        </w:tblCellMar>
        <w:tblLook w:val="0600"/>
      </w:tblPr>
      <w:tblGrid>
        <w:gridCol w:w="3764"/>
        <w:gridCol w:w="826"/>
        <w:gridCol w:w="899"/>
        <w:gridCol w:w="795"/>
        <w:gridCol w:w="750"/>
        <w:gridCol w:w="870"/>
        <w:gridCol w:w="1021"/>
      </w:tblGrid>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Módulo</w:t>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ILF</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EIF</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EI</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EO</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EQ</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bCs/>
              </w:rPr>
            </w:pPr>
            <w:r>
              <w:rPr>
                <w:b/>
                <w:bCs/>
              </w:rPr>
              <w:t>PFSA</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M1 – Carta</w:t>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12</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82</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M2 – Menús y promociones</w:t>
            </w:r>
          </w:p>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9</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61</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M3 – Sectores, mesas y mozos</w:t>
            </w:r>
          </w:p>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3</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9</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4</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86</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M4 – Clientes y comandas</w:t>
            </w:r>
          </w:p>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8</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3</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67</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M5 – Reservas</w:t>
            </w:r>
          </w:p>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5</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40</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M6 – Facturación y cobros</w:t>
            </w:r>
          </w:p>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3</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5</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64</w:t>
            </w:r>
          </w:p>
        </w:tc>
      </w:tr>
      <w:tr>
        <w:trPr/>
        <w:tc>
          <w:tcPr>
            <w:tcW w:w="376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TOTAL</w:t>
            </w:r>
          </w:p>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8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13</w:t>
            </w:r>
          </w:p>
        </w:tc>
        <w:tc>
          <w:tcPr>
            <w:tcW w:w="89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0</w:t>
            </w:r>
          </w:p>
        </w:tc>
        <w:tc>
          <w:tcPr>
            <w:tcW w:w="7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48</w:t>
            </w:r>
          </w:p>
        </w:tc>
        <w:tc>
          <w:tcPr>
            <w:tcW w:w="7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14</w:t>
            </w:r>
          </w:p>
        </w:tc>
        <w:tc>
          <w:tcPr>
            <w:tcW w:w="8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2</w:t>
            </w:r>
          </w:p>
        </w:tc>
        <w:tc>
          <w:tcPr>
            <w:tcW w:w="102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400</w:t>
            </w:r>
          </w:p>
        </w:tc>
      </w:tr>
    </w:tbl>
    <w:p>
      <w:pPr>
        <w:pStyle w:val="normal1"/>
        <w:rPr/>
      </w:pPr>
      <w:r>
        <w:rPr/>
      </w:r>
    </w:p>
    <w:p>
      <w:pPr>
        <w:pStyle w:val="normal1"/>
        <w:rPr>
          <w:sz w:val="18"/>
          <w:szCs w:val="18"/>
        </w:rPr>
      </w:pPr>
      <w:r>
        <w:rPr>
          <w:sz w:val="18"/>
          <w:szCs w:val="18"/>
        </w:rPr>
        <w:t>Resultado: 77 funciones identificadas con 400 PFSA en los 6 módulos.</w:t>
      </w:r>
    </w:p>
    <w:p>
      <w:pPr>
        <w:pStyle w:val="Subtitle"/>
        <w:rPr>
          <w:b/>
          <w:bCs/>
          <w:sz w:val="18"/>
          <w:szCs w:val="18"/>
        </w:rPr>
      </w:pPr>
      <w:bookmarkStart w:id="3" w:name="_1vok9ffvvqbs"/>
      <w:bookmarkEnd w:id="3"/>
      <w:r>
        <w:rPr>
          <w:b/>
          <w:bCs/>
          <w:color w:val="000000"/>
        </w:rPr>
        <w:t>Factores de ajuste:</w:t>
      </w:r>
    </w:p>
    <w:tbl>
      <w:tblPr>
        <w:tblStyle w:val="Table8"/>
        <w:tblW w:w="8940" w:type="dxa"/>
        <w:jc w:val="start"/>
        <w:tblInd w:w="0" w:type="dxa"/>
        <w:tblLayout w:type="fixed"/>
        <w:tblCellMar>
          <w:top w:w="100" w:type="dxa"/>
          <w:start w:w="100" w:type="dxa"/>
          <w:bottom w:w="100" w:type="dxa"/>
          <w:end w:w="100" w:type="dxa"/>
        </w:tblCellMar>
        <w:tblLook w:val="0600"/>
      </w:tblPr>
      <w:tblGrid>
        <w:gridCol w:w="630"/>
        <w:gridCol w:w="2895"/>
        <w:gridCol w:w="495"/>
        <w:gridCol w:w="4920"/>
      </w:tblGrid>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N.°</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Factor</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Fi</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Justificación</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1</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Comunicación de datos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3</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Se intercambia información entre las áreas funcionales del restaurante.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2</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Procesamiento distribuido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1</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ind w:hanging="0" w:start="0" w:end="0"/>
              <w:rPr>
                <w:sz w:val="18"/>
                <w:szCs w:val="18"/>
              </w:rPr>
            </w:pPr>
            <w:r>
              <w:rPr>
                <w:sz w:val="18"/>
                <w:szCs w:val="18"/>
              </w:rPr>
              <w:t>El procesamiento se concentra en un único servidor (FastAPI y SQLite). El frontend corre en el navegador de cada equipo y solo valida y presenta los datos que recibe</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3</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Rendimiento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3</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Las operaciones de comandas, reservas y cobros requieren respuestas ágiles.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4</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Uso intensivo de la configuración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1</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No se identifican restricciones especiales de hardware. </w:t>
            </w:r>
          </w:p>
        </w:tc>
      </w:tr>
      <w:tr>
        <w:trPr>
          <w:trHeight w:val="860" w:hRule="atLeast"/>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5</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Tasa de transacciones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3</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En los horarios de atención se registran múltiples operaciones.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6</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Entrada de datos en línea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5</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La mayoría de las funciones permiten ingresar datos de manera interactiva.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7</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Eficiencia para el usuario final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4</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El personal debe gestionar las operaciones cotidianas con facilidad.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8</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Actualización en línea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5</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Comandas, reservas y cobros requieren actualización de los datos.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9</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Procesamiento complejo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2</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Existen cálculos de facturación y reportes, sin algoritmos especialmente complejos.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10</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Reusabilidad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2</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Pueden compartirse componentes entre módulos.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11</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Facilidad de instalación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3</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Se considera conveniente simplificar la puesta en funcionamiento.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12</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Facilidad de operación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4</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El sistema debe ser fácil de utilizar por el personal del restaurante.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13</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Múltiples sitios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0</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No se especifica funcionamiento en múltiples sucursales.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14</w:t>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Facilidad de cambios </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3</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t xml:space="preserve">Deben poder modificarse cartas, promociones y datos operativos. </w:t>
            </w:r>
          </w:p>
        </w:tc>
      </w:tr>
      <w:tr>
        <w:trPr/>
        <w:tc>
          <w:tcPr>
            <w:tcW w:w="63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r>
          </w:p>
        </w:tc>
        <w:tc>
          <w:tcPr>
            <w:tcW w:w="289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b/>
                <w:bCs/>
                <w:sz w:val="18"/>
                <w:szCs w:val="18"/>
              </w:rPr>
            </w:pPr>
            <w:r>
              <w:rPr>
                <w:b/>
                <w:bCs/>
                <w:sz w:val="18"/>
                <w:szCs w:val="18"/>
              </w:rPr>
              <w:t>TOTAL</w:t>
            </w:r>
          </w:p>
        </w:tc>
        <w:tc>
          <w:tcPr>
            <w:tcW w:w="49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sz w:val="18"/>
                <w:szCs w:val="18"/>
              </w:rPr>
            </w:pPr>
            <w:r>
              <w:rPr>
                <w:b/>
                <w:bCs/>
                <w:sz w:val="18"/>
                <w:szCs w:val="18"/>
              </w:rPr>
              <w:t>39</w:t>
            </w:r>
          </w:p>
        </w:tc>
        <w:tc>
          <w:tcPr>
            <w:tcW w:w="49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18"/>
                <w:szCs w:val="18"/>
              </w:rPr>
            </w:pPr>
            <w:r>
              <w:rPr>
                <w:sz w:val="18"/>
                <w:szCs w:val="18"/>
              </w:rPr>
            </w:r>
          </w:p>
        </w:tc>
      </w:tr>
    </w:tbl>
    <w:p>
      <w:pPr>
        <w:pStyle w:val="normal1"/>
        <w:rPr>
          <w:sz w:val="18"/>
          <w:szCs w:val="18"/>
        </w:rPr>
      </w:pPr>
      <w:r>
        <w:rPr>
          <w:sz w:val="18"/>
          <w:szCs w:val="18"/>
        </w:rPr>
      </w:r>
    </w:p>
    <w:p>
      <w:pPr>
        <w:pStyle w:val="normal1"/>
        <w:rPr>
          <w:sz w:val="18"/>
          <w:szCs w:val="18"/>
        </w:rPr>
      </w:pPr>
      <w:r>
        <w:rPr>
          <w:sz w:val="18"/>
          <w:szCs w:val="18"/>
        </w:rPr>
      </w:r>
    </w:p>
    <w:p>
      <w:pPr>
        <w:pStyle w:val="Subtitle"/>
        <w:rPr>
          <w:color w:val="000000"/>
        </w:rPr>
      </w:pPr>
      <w:r>
        <w:rPr>
          <w:color w:val="000000"/>
        </w:rPr>
      </w:r>
      <w:bookmarkStart w:id="4" w:name="_p8fgnwuzezlh"/>
      <w:bookmarkEnd w:id="4"/>
      <w:r>
        <w:br w:type="page"/>
      </w:r>
    </w:p>
    <w:p>
      <w:pPr>
        <w:pStyle w:val="Subtitle"/>
        <w:spacing w:before="0" w:after="320"/>
        <w:rPr>
          <w:b/>
          <w:bCs/>
          <w:color w:val="000000"/>
        </w:rPr>
      </w:pPr>
      <w:bookmarkStart w:id="5" w:name="_cm1khh1kol7x"/>
      <w:bookmarkEnd w:id="5"/>
      <w:r>
        <w:rPr>
          <w:b/>
          <w:bCs/>
          <w:color w:val="000000"/>
        </w:rPr>
        <w:t>Puntos de función ajustados:</w:t>
      </w:r>
    </w:p>
    <w:p>
      <w:pPr>
        <w:pStyle w:val="normal1"/>
        <w:rPr/>
      </w:pPr>
      <w:r>
        <w:rPr/>
        <w:t>Fórmula:</w:t>
      </w:r>
    </w:p>
    <w:p>
      <w:pPr>
        <w:pStyle w:val="normal1"/>
        <w:rPr/>
      </w:pPr>
      <w:r>
        <w:rPr/>
        <w:tab/>
      </w:r>
    </w:p>
    <w:p>
      <w:pPr>
        <w:pStyle w:val="normal1"/>
        <w:jc w:val="center"/>
        <w:rPr/>
      </w:pPr>
      <w:r>
        <w:rPr/>
      </w:r>
      <m:oMathPara xmlns:m="http://schemas.openxmlformats.org/officeDocument/2006/math">
        <m:oMathParaPr>
          <m:jc m:val="center"/>
        </m:oMathParaPr>
        <m:oMath>
          <m:r>
            <m:t xml:space="preserve">PFA</m:t>
          </m:r>
          <m:r>
            <m:rPr>
              <m:lit/>
              <m:nor/>
            </m:rPr>
            <m:t xml:space="preserve">=</m:t>
          </m:r>
          <m:r>
            <m:t xml:space="preserve">PFSA</m:t>
          </m:r>
          <m:r>
            <m:t xml:space="preserve">×</m:t>
          </m:r>
          <m:r>
            <m:t xml:space="preserve">[</m:t>
          </m:r>
          <m:r>
            <m:t xml:space="preserve">0,65</m:t>
          </m:r>
          <m:r>
            <m:rPr>
              <m:lit/>
              <m:nor/>
            </m:rPr>
            <m:t xml:space="preserve">+</m:t>
          </m:r>
          <m:r>
            <m:t xml:space="preserve">(</m:t>
          </m:r>
          <m:r>
            <m:t xml:space="preserve">0,01</m:t>
          </m:r>
          <m:r>
            <m:t xml:space="preserve">×</m:t>
          </m:r>
          <m:nary>
            <m:naryPr>
              <m:chr m:val="∑"/>
            </m:naryPr>
            <m:sub/>
            <m:sup/>
            <m:e>
              <m:r>
                <m:t xml:space="preserve">Fi</m:t>
              </m:r>
              <m:r>
                <m:t xml:space="preserve">)</m:t>
              </m:r>
              <m:r>
                <m:t xml:space="preserve">]</m:t>
              </m:r>
            </m:e>
          </m:nary>
        </m:oMath>
      </m:oMathPara>
    </w:p>
    <w:p>
      <w:pPr>
        <w:pStyle w:val="normal1"/>
        <w:rPr>
          <w:sz w:val="18"/>
          <w:szCs w:val="18"/>
        </w:rPr>
      </w:pPr>
      <w:r>
        <w:rPr/>
        <w:t>Sustituimos</w:t>
      </w:r>
      <w:r>
        <w:rPr>
          <w:sz w:val="18"/>
          <w:szCs w:val="18"/>
        </w:rPr>
        <w:t>:</w:t>
      </w:r>
    </w:p>
    <w:p>
      <w:pPr>
        <w:pStyle w:val="normal1"/>
        <w:rPr/>
      </w:pPr>
      <w:r>
        <w:rPr>
          <w:sz w:val="18"/>
          <w:szCs w:val="18"/>
        </w:rPr>
        <w:tab/>
      </w:r>
    </w:p>
    <w:p>
      <w:pPr>
        <w:pStyle w:val="normal1"/>
        <w:rPr/>
      </w:pPr>
      <w:r>
        <w:rPr/>
      </w:r>
    </w:p>
    <w:p>
      <w:pPr>
        <w:pStyle w:val="normal1"/>
        <w:jc w:val="center"/>
        <w:rPr/>
      </w:pPr>
      <w:r>
        <w:rPr/>
      </w:r>
      <m:oMathPara xmlns:m="http://schemas.openxmlformats.org/officeDocument/2006/math">
        <m:oMathParaPr>
          <m:jc m:val="center"/>
        </m:oMathParaPr>
        <m:oMath>
          <m:r>
            <m:t xml:space="preserve">PFA</m:t>
          </m:r>
          <m:r>
            <m:rPr>
              <m:lit/>
              <m:nor/>
            </m:rPr>
            <m:t xml:space="preserve">=</m:t>
          </m:r>
          <m:r>
            <m:t xml:space="preserve">400</m:t>
          </m:r>
          <m:r>
            <m:t xml:space="preserve">×</m:t>
          </m:r>
          <m:r>
            <m:t xml:space="preserve">[</m:t>
          </m:r>
          <m:r>
            <m:t xml:space="preserve">0,65</m:t>
          </m:r>
          <m:r>
            <m:rPr>
              <m:lit/>
              <m:nor/>
            </m:rPr>
            <m:t xml:space="preserve">+</m:t>
          </m:r>
          <m:r>
            <m:t xml:space="preserve">(</m:t>
          </m:r>
          <m:r>
            <m:t xml:space="preserve">0,01</m:t>
          </m:r>
          <m:r>
            <m:t xml:space="preserve">×</m:t>
          </m:r>
          <m:r>
            <m:t xml:space="preserve">39</m:t>
          </m:r>
          <m:r>
            <m:t xml:space="preserve">)</m:t>
          </m:r>
          <m:r>
            <m:t xml:space="preserve">]</m:t>
          </m:r>
        </m:oMath>
      </m:oMathPara>
    </w:p>
    <w:p>
      <w:pPr>
        <w:pStyle w:val="normal1"/>
        <w:jc w:val="center"/>
        <w:rPr/>
      </w:pPr>
      <w:r>
        <w:rPr/>
      </w:r>
    </w:p>
    <w:p>
      <w:pPr>
        <w:pStyle w:val="normal1"/>
        <w:jc w:val="center"/>
        <w:rPr/>
      </w:pPr>
      <w:r>
        <w:rPr/>
      </w:r>
      <m:oMathPara xmlns:m="http://schemas.openxmlformats.org/officeDocument/2006/math">
        <m:oMathParaPr>
          <m:jc m:val="center"/>
        </m:oMathParaPr>
        <m:oMath>
          <m:r>
            <m:t xml:space="preserve">PFA</m:t>
          </m:r>
          <m:r>
            <m:rPr>
              <m:lit/>
              <m:nor/>
            </m:rPr>
            <m:t xml:space="preserve">=</m:t>
          </m:r>
          <m:r>
            <m:t xml:space="preserve">400</m:t>
          </m:r>
          <m:r>
            <m:t xml:space="preserve">×</m:t>
          </m:r>
          <m:r>
            <m:t xml:space="preserve">1,04</m:t>
          </m:r>
        </m:oMath>
      </m:oMathPara>
    </w:p>
    <w:p>
      <w:pPr>
        <w:pStyle w:val="normal1"/>
        <w:jc w:val="center"/>
        <w:rPr/>
      </w:pPr>
      <w:r>
        <w:rPr/>
      </w:r>
    </w:p>
    <w:p>
      <w:pPr>
        <w:pStyle w:val="normal1"/>
        <w:jc w:val="center"/>
        <w:rPr/>
      </w:pPr>
      <w:r>
        <w:rPr/>
      </w:r>
      <m:oMath xmlns:m="http://schemas.openxmlformats.org/officeDocument/2006/math">
        <m:r>
          <m:t xml:space="preserve">PFA</m:t>
        </m:r>
      </m:oMath>
      <w:r>
        <w:rPr/>
        <w:t xml:space="preserve"> </w:t>
      </w:r>
      <w:r>
        <w:rPr/>
        <w:t>= 416</w:t>
      </w:r>
    </w:p>
    <w:p>
      <w:pPr>
        <w:pStyle w:val="normal1"/>
        <w:jc w:val="center"/>
        <w:rPr/>
      </w:pPr>
      <w:r>
        <w:rPr/>
      </w:r>
    </w:p>
    <w:p>
      <w:pPr>
        <w:pStyle w:val="normal1"/>
        <w:jc w:val="start"/>
        <w:rPr/>
      </w:pPr>
      <w:r>
        <w:rPr/>
        <w:t>El sistema tiene un tamaño estimado de 416 Puntos de Función Ajustados</w:t>
      </w:r>
    </w:p>
    <w:p>
      <w:pPr>
        <w:pStyle w:val="Subtitle"/>
        <w:rPr>
          <w:b/>
          <w:bCs/>
          <w:color w:val="000000"/>
        </w:rPr>
      </w:pPr>
      <w:r>
        <w:rPr>
          <w:b/>
          <w:bCs/>
          <w:color w:val="000000"/>
        </w:rPr>
      </w:r>
    </w:p>
    <w:p>
      <w:pPr>
        <w:pStyle w:val="normal1"/>
        <w:rPr>
          <w:b/>
          <w:bCs/>
          <w:color w:val="000000"/>
        </w:rPr>
      </w:pPr>
      <w:r>
        <w:rPr>
          <w:b/>
          <w:bCs/>
          <w:color w:val="000000"/>
        </w:rPr>
      </w:r>
      <w:bookmarkStart w:id="6" w:name="_6dsn21pv0dvf"/>
      <w:bookmarkEnd w:id="6"/>
    </w:p>
    <w:p>
      <w:pPr>
        <w:pStyle w:val="Subtitle"/>
        <w:rPr>
          <w:b/>
          <w:bCs/>
          <w:color w:val="000000"/>
        </w:rPr>
      </w:pPr>
      <w:bookmarkStart w:id="7" w:name="_ew78g223tchl"/>
      <w:bookmarkEnd w:id="7"/>
      <w:r>
        <w:rPr>
          <w:b/>
          <w:bCs/>
          <w:color w:val="000000"/>
        </w:rPr>
        <w:t>Estimación de líneas de código (LDC):</w:t>
      </w:r>
    </w:p>
    <w:p>
      <w:pPr>
        <w:pStyle w:val="normal1"/>
        <w:jc w:val="start"/>
        <w:rPr/>
      </w:pPr>
      <w:r>
        <w:rPr/>
      </w:r>
    </w:p>
    <w:tbl>
      <w:tblPr>
        <w:tblStyle w:val="Table9"/>
        <w:tblW w:w="9029" w:type="dxa"/>
        <w:jc w:val="start"/>
        <w:tblInd w:w="0" w:type="dxa"/>
        <w:tblLayout w:type="fixed"/>
        <w:tblCellMar>
          <w:top w:w="100" w:type="dxa"/>
          <w:start w:w="100" w:type="dxa"/>
          <w:bottom w:w="100" w:type="dxa"/>
          <w:end w:w="100" w:type="dxa"/>
        </w:tblCellMar>
        <w:tblLook w:val="0600"/>
      </w:tblPr>
      <w:tblGrid>
        <w:gridCol w:w="1805"/>
        <w:gridCol w:w="1806"/>
        <w:gridCol w:w="1806"/>
        <w:gridCol w:w="1806"/>
        <w:gridCol w:w="1806"/>
      </w:tblGrid>
      <w:tr>
        <w:trPr/>
        <w:tc>
          <w:tcPr>
            <w:tcW w:w="18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Capa</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Reparto</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PFA asignados</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LDC/PF</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LDC</w:t>
            </w:r>
          </w:p>
        </w:tc>
      </w:tr>
      <w:tr>
        <w:trPr/>
        <w:tc>
          <w:tcPr>
            <w:tcW w:w="18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Frontend</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45%</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187,2</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47</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8798,4</w:t>
            </w:r>
          </w:p>
        </w:tc>
      </w:tr>
      <w:tr>
        <w:trPr/>
        <w:tc>
          <w:tcPr>
            <w:tcW w:w="18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Backend</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45%</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187,2</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30</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5616</w:t>
            </w:r>
          </w:p>
        </w:tc>
      </w:tr>
      <w:tr>
        <w:trPr/>
        <w:tc>
          <w:tcPr>
            <w:tcW w:w="18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Base de datos</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10%</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41,6</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15</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pPr>
            <w:r>
              <w:rPr/>
              <w:t>624</w:t>
            </w:r>
          </w:p>
        </w:tc>
      </w:tr>
      <w:tr>
        <w:trPr/>
        <w:tc>
          <w:tcPr>
            <w:tcW w:w="18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TOTAL</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100%</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416</w:t>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r>
          </w:p>
        </w:tc>
        <w:tc>
          <w:tcPr>
            <w:tcW w:w="180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bCs/>
              </w:rPr>
            </w:pPr>
            <w:r>
              <w:rPr>
                <w:b/>
                <w:bCs/>
              </w:rPr>
              <w:t>15038,4</w:t>
            </w:r>
          </w:p>
        </w:tc>
      </w:tr>
    </w:tbl>
    <w:p>
      <w:pPr>
        <w:pStyle w:val="normal1"/>
        <w:jc w:val="start"/>
        <w:rPr/>
      </w:pPr>
      <w:r>
        <w:rPr/>
      </w:r>
    </w:p>
    <w:p>
      <w:pPr>
        <w:pStyle w:val="normal1"/>
        <w:jc w:val="start"/>
        <w:rPr/>
      </w:pPr>
      <w:r>
        <w:rPr/>
        <w:t>Las líneas de código quedaron en 15038 aproximadamente.</w:t>
      </w:r>
    </w:p>
    <w:p>
      <w:pPr>
        <w:pStyle w:val="normal1"/>
        <w:jc w:val="start"/>
        <w:rPr/>
      </w:pPr>
      <w:r>
        <w:rPr/>
      </w:r>
    </w:p>
    <w:p>
      <w:pPr>
        <w:pStyle w:val="normal1"/>
        <w:jc w:val="start"/>
        <w:rPr/>
      </w:pPr>
      <w:r>
        <w:rPr/>
        <w:t xml:space="preserve">Justificación: Se adopta el reparto inicial presentado en el material de la cátedra, considerando que las interfaces de usuario y la lógica de negocio concentran la mayor parte de las funcionalidades, mientras que la base de datos gestiona su almacenamiento. Esta distribución deberá revisarse en función de la implementación real. </w:t>
      </w:r>
    </w:p>
    <w:p>
      <w:pPr>
        <w:pStyle w:val="normal1"/>
        <w:jc w:val="start"/>
        <w:rPr/>
      </w:pPr>
      <w:r>
        <w:rPr/>
      </w:r>
    </w:p>
    <w:p>
      <w:pPr>
        <w:pStyle w:val="Subtitle"/>
        <w:rPr>
          <w:b/>
          <w:bCs/>
          <w:color w:val="000000"/>
        </w:rPr>
      </w:pPr>
      <w:r>
        <w:rPr>
          <w:b/>
          <w:bCs/>
          <w:color w:val="000000"/>
        </w:rPr>
      </w:r>
      <w:bookmarkStart w:id="8" w:name="_scwymnub9f23"/>
      <w:bookmarkEnd w:id="8"/>
      <w:r>
        <w:br w:type="page"/>
      </w:r>
    </w:p>
    <w:p>
      <w:pPr>
        <w:pStyle w:val="Subtitle"/>
        <w:spacing w:before="0" w:after="320"/>
        <w:rPr>
          <w:b/>
          <w:bCs/>
          <w:color w:val="000000"/>
        </w:rPr>
      </w:pPr>
      <w:bookmarkStart w:id="9" w:name="_gv26uml8kktk"/>
      <w:bookmarkEnd w:id="9"/>
      <w:r>
        <w:rPr>
          <w:b/>
          <w:bCs/>
          <w:color w:val="000000"/>
        </w:rPr>
        <w:t>Estimación del esfuerzo:</w:t>
      </w:r>
    </w:p>
    <w:p>
      <w:pPr>
        <w:pStyle w:val="normal1"/>
        <w:jc w:val="start"/>
        <w:rPr/>
      </w:pPr>
      <w:r>
        <w:rPr/>
        <w:t>Al ser un equipo nuevo, que trabaja junto por primera vez, no contamos con mediciones históricas propias de productividad. Tampoco se toma el valor de ejemplo del apunte (6,5 PF por persona-mes), porque corresponde a un equipo que programa sin asistencia de agentes de IA. Por eso la productividad se obtiene a partir de las dos restricciones del proyecto: el plazo máximo de 3 meses fijado por la cátedra y los 6 integrantes del equipo.</w:t>
      </w:r>
    </w:p>
    <w:p>
      <w:pPr>
        <w:pStyle w:val="normal1"/>
        <w:jc w:val="start"/>
        <w:rPr/>
      </w:pPr>
      <w:r>
        <w:rPr/>
      </w:r>
    </w:p>
    <w:p>
      <w:pPr>
        <w:pStyle w:val="normal1"/>
        <w:jc w:val="start"/>
        <w:rPr>
          <w:b/>
          <w:bCs/>
        </w:rPr>
      </w:pPr>
      <w:r>
        <w:rPr>
          <w:b/>
          <w:bCs/>
        </w:rPr>
        <w:t>Productividad requerida:</w:t>
      </w:r>
    </w:p>
    <w:p>
      <w:pPr>
        <w:pStyle w:val="normal1"/>
        <w:jc w:val="center"/>
        <w:rPr>
          <w:sz w:val="30"/>
          <w:szCs w:val="30"/>
        </w:rPr>
      </w:pPr>
      <w:r>
        <w:rPr/>
      </w:r>
      <m:oMathPara xmlns:m="http://schemas.openxmlformats.org/officeDocument/2006/math">
        <m:oMathParaPr>
          <m:jc m:val="center"/>
        </m:oMathParaPr>
        <m:oMath>
          <m:r>
            <m:t xml:space="preserve">Productividad</m:t>
          </m:r>
          <m:r>
            <m:rPr>
              <m:lit/>
              <m:nor/>
            </m:rPr>
            <m:t xml:space="preserve">=</m:t>
          </m:r>
          <m:f>
            <m:num>
              <m:r>
                <m:t xml:space="preserve">PFA</m:t>
              </m:r>
            </m:num>
            <m:den>
              <m:r>
                <m:t xml:space="preserve">Meses</m:t>
              </m:r>
              <m:r>
                <m:t xml:space="preserve">×</m:t>
              </m:r>
              <m:r>
                <m:t xml:space="preserve">Integrantes</m:t>
              </m:r>
            </m:den>
          </m:f>
        </m:oMath>
      </m:oMathPara>
    </w:p>
    <w:p>
      <w:pPr>
        <w:pStyle w:val="normal1"/>
        <w:jc w:val="center"/>
        <w:rPr>
          <w:sz w:val="30"/>
          <w:szCs w:val="30"/>
        </w:rPr>
      </w:pPr>
      <w:r>
        <w:rPr>
          <w:sz w:val="30"/>
          <w:szCs w:val="30"/>
        </w:rPr>
      </w:r>
    </w:p>
    <w:p>
      <w:pPr>
        <w:pStyle w:val="normal1"/>
        <w:jc w:val="center"/>
        <w:rPr>
          <w:sz w:val="30"/>
          <w:szCs w:val="30"/>
        </w:rPr>
      </w:pPr>
      <w:r>
        <w:rPr/>
      </w:r>
      <m:oMathPara xmlns:m="http://schemas.openxmlformats.org/officeDocument/2006/math">
        <m:oMathParaPr>
          <m:jc m:val="center"/>
        </m:oMathParaPr>
        <m:oMath>
          <m:r>
            <m:t xml:space="preserve">Productividad</m:t>
          </m:r>
          <m:r>
            <m:rPr>
              <m:lit/>
              <m:nor/>
            </m:rPr>
            <m:t xml:space="preserve">=</m:t>
          </m:r>
          <m:f>
            <m:num>
              <m:r>
                <m:t xml:space="preserve">416</m:t>
              </m:r>
            </m:num>
            <m:den>
              <m:r>
                <m:t xml:space="preserve">3</m:t>
              </m:r>
              <m:r>
                <m:t xml:space="preserve">×</m:t>
              </m:r>
              <m:r>
                <m:t xml:space="preserve">6</m:t>
              </m:r>
            </m:den>
          </m:f>
        </m:oMath>
      </m:oMathPara>
    </w:p>
    <w:p>
      <w:pPr>
        <w:pStyle w:val="normal1"/>
        <w:jc w:val="center"/>
        <w:rPr>
          <w:sz w:val="30"/>
          <w:szCs w:val="30"/>
        </w:rPr>
      </w:pPr>
      <w:r>
        <w:rPr>
          <w:sz w:val="30"/>
          <w:szCs w:val="30"/>
        </w:rPr>
      </w:r>
    </w:p>
    <w:p>
      <w:pPr>
        <w:pStyle w:val="normal1"/>
        <w:jc w:val="center"/>
        <w:rPr>
          <w:sz w:val="24"/>
          <w:szCs w:val="24"/>
        </w:rPr>
      </w:pPr>
      <w:r>
        <w:rPr/>
      </w:r>
      <m:oMath xmlns:m="http://schemas.openxmlformats.org/officeDocument/2006/math">
        <m:r>
          <m:t xml:space="preserve">Productividad</m:t>
        </m:r>
      </m:oMath>
      <w:r>
        <w:rPr>
          <w:sz w:val="30"/>
          <w:szCs w:val="30"/>
        </w:rPr>
        <w:t xml:space="preserve"> ≈ </w:t>
      </w:r>
      <w:r>
        <w:rPr>
          <w:sz w:val="24"/>
          <w:szCs w:val="24"/>
        </w:rPr>
        <w:t>23,1 PF por persona-mes</w:t>
      </w:r>
    </w:p>
    <w:p>
      <w:pPr>
        <w:pStyle w:val="normal1"/>
        <w:jc w:val="start"/>
        <w:rPr/>
      </w:pPr>
      <w:r>
        <w:rPr/>
      </w:r>
    </w:p>
    <w:p>
      <w:pPr>
        <w:pStyle w:val="normal1"/>
        <w:jc w:val="start"/>
        <w:rPr/>
      </w:pPr>
      <w:r>
        <w:rPr/>
        <w:t>La productividad requerida es la cantidad de Puntos de Función que cada integrante tiene que completar por mes para terminar el sistema dentro del plazo. Se calcula en dos pasos: primero se reparten los 416 PFA en los 3 meses (416 ÷ 3 ≈ 138,7 PF por mes para todo el equipo) y después ese valor se reparte entre los 6 integrantes (138,7 ÷ 6 ≈ 23,1 PF por persona por mes).</w:t>
      </w:r>
    </w:p>
    <w:p>
      <w:pPr>
        <w:pStyle w:val="normal1"/>
        <w:jc w:val="start"/>
        <w:rPr/>
      </w:pPr>
      <w:r>
        <w:rPr/>
      </w:r>
    </w:p>
    <w:p>
      <w:pPr>
        <w:pStyle w:val="normal1"/>
        <w:jc w:val="start"/>
        <w:rPr/>
      </w:pPr>
      <w:r>
        <w:rPr/>
        <w:t>Es más alta que el valor de ejemplo del apunte, y se considera alcanzable por cuatro razones. Las HU ya están especificadas desde el Sprint 0, con criterios de aceptación, modelo de dominio y RNF. El equipo trabaja con desarrollo asistido por agentes de IA bajo Spec Driven Development: los agentes generan el código y las pruebas a partir de la spec de cada HU, y una persona del equipo los revisa. La mayoría de las funciones son ABM (48 de las 77 son entradas externas) y el procesamiento complejo es bajo (Fi = 2). Además, el repositorio base compartido (D-05) evita repetir el mismo código en los 6 módulos.</w:t>
      </w:r>
    </w:p>
    <w:p>
      <w:pPr>
        <w:pStyle w:val="normal1"/>
        <w:jc w:val="start"/>
        <w:rPr/>
      </w:pPr>
      <w:r>
        <w:rPr/>
      </w:r>
    </w:p>
    <w:p>
      <w:pPr>
        <w:pStyle w:val="normal1"/>
        <w:jc w:val="start"/>
        <w:rPr>
          <w:b/>
          <w:bCs/>
        </w:rPr>
      </w:pPr>
      <w:r>
        <w:rPr>
          <w:b/>
          <w:bCs/>
        </w:rPr>
        <w:t>Esfuerzo:</w:t>
      </w:r>
    </w:p>
    <w:p>
      <w:pPr>
        <w:pStyle w:val="normal1"/>
        <w:jc w:val="start"/>
        <w:rPr/>
      </w:pPr>
      <w:r>
        <w:rPr/>
        <w:tab/>
      </w:r>
    </w:p>
    <w:p>
      <w:pPr>
        <w:pStyle w:val="normal1"/>
        <w:jc w:val="start"/>
        <w:rPr/>
      </w:pPr>
      <w:r>
        <w:rPr/>
        <w:tab/>
      </w:r>
    </w:p>
    <w:p>
      <w:pPr>
        <w:pStyle w:val="normal1"/>
        <w:jc w:val="center"/>
        <w:rPr>
          <w:sz w:val="30"/>
          <w:szCs w:val="30"/>
        </w:rPr>
      </w:pPr>
      <w:r>
        <w:rPr/>
      </w:r>
      <m:oMathPara xmlns:m="http://schemas.openxmlformats.org/officeDocument/2006/math">
        <m:oMathParaPr>
          <m:jc m:val="center"/>
        </m:oMathParaPr>
        <m:oMath>
          <m:r>
            <m:t xml:space="preserve">Esfuerzo</m:t>
          </m:r>
          <m:r>
            <m:rPr>
              <m:lit/>
              <m:nor/>
            </m:rPr>
            <m:t xml:space="preserve">=</m:t>
          </m:r>
          <m:f>
            <m:num>
              <m:r>
                <m:t xml:space="preserve">PFA</m:t>
              </m:r>
            </m:num>
            <m:den>
              <m:r>
                <m:t xml:space="preserve">Productividad</m:t>
              </m:r>
            </m:den>
          </m:f>
        </m:oMath>
      </m:oMathPara>
    </w:p>
    <w:p>
      <w:pPr>
        <w:pStyle w:val="normal1"/>
        <w:rPr>
          <w:sz w:val="30"/>
          <w:szCs w:val="30"/>
        </w:rPr>
      </w:pPr>
      <w:r>
        <w:rPr>
          <w:sz w:val="30"/>
          <w:szCs w:val="30"/>
        </w:rPr>
      </w:r>
    </w:p>
    <w:p>
      <w:pPr>
        <w:pStyle w:val="normal1"/>
        <w:jc w:val="center"/>
        <w:rPr>
          <w:sz w:val="30"/>
          <w:szCs w:val="30"/>
        </w:rPr>
      </w:pPr>
      <w:r>
        <w:rPr/>
      </w:r>
      <m:oMathPara xmlns:m="http://schemas.openxmlformats.org/officeDocument/2006/math">
        <m:oMathParaPr>
          <m:jc m:val="center"/>
        </m:oMathParaPr>
        <m:oMath>
          <m:r>
            <m:t xml:space="preserve">Esfuerzo</m:t>
          </m:r>
          <m:r>
            <m:rPr>
              <m:lit/>
              <m:nor/>
            </m:rPr>
            <m:t xml:space="preserve">=</m:t>
          </m:r>
          <m:f>
            <m:num>
              <m:r>
                <m:t xml:space="preserve">416</m:t>
              </m:r>
            </m:num>
            <m:den>
              <m:r>
                <m:t xml:space="preserve">23,1</m:t>
              </m:r>
            </m:den>
          </m:f>
        </m:oMath>
      </m:oMathPara>
    </w:p>
    <w:p>
      <w:pPr>
        <w:pStyle w:val="normal1"/>
        <w:jc w:val="center"/>
        <w:rPr>
          <w:sz w:val="30"/>
          <w:szCs w:val="30"/>
        </w:rPr>
      </w:pPr>
      <w:r>
        <w:rPr>
          <w:sz w:val="30"/>
          <w:szCs w:val="30"/>
        </w:rPr>
      </w:r>
    </w:p>
    <w:p>
      <w:pPr>
        <w:pStyle w:val="normal1"/>
        <w:jc w:val="center"/>
        <w:rPr>
          <w:sz w:val="24"/>
          <w:szCs w:val="24"/>
        </w:rPr>
      </w:pPr>
      <w:r>
        <w:rPr/>
      </w:r>
      <m:oMath xmlns:m="http://schemas.openxmlformats.org/officeDocument/2006/math">
        <m:r>
          <m:t xml:space="preserve">Esfuerzo</m:t>
        </m:r>
      </m:oMath>
      <w:r>
        <w:rPr>
          <w:sz w:val="30"/>
          <w:szCs w:val="30"/>
        </w:rPr>
        <w:t xml:space="preserve"> ≈ </w:t>
      </w:r>
      <w:r>
        <w:rPr>
          <w:sz w:val="24"/>
          <w:szCs w:val="24"/>
        </w:rPr>
        <w:t>18 personas-mes</w:t>
      </w:r>
    </w:p>
    <w:p>
      <w:pPr>
        <w:pStyle w:val="normal1"/>
        <w:jc w:val="start"/>
        <w:rPr>
          <w:sz w:val="24"/>
          <w:szCs w:val="24"/>
        </w:rPr>
      </w:pPr>
      <w:r>
        <w:rPr>
          <w:sz w:val="24"/>
          <w:szCs w:val="24"/>
        </w:rPr>
      </w:r>
    </w:p>
    <w:p>
      <w:pPr>
        <w:pStyle w:val="normal1"/>
        <w:jc w:val="start"/>
        <w:rPr>
          <w:sz w:val="24"/>
          <w:szCs w:val="24"/>
        </w:rPr>
      </w:pPr>
      <w:r>
        <w:rPr>
          <w:sz w:val="24"/>
          <w:szCs w:val="24"/>
        </w:rPr>
        <w:t>Supuesto: la productividad de 23,1 PF por persona-mes se valida al cierre del Sprint 2, midiendo los PF terminados en relación con el esfuerzo invertido. Si resulta menor, se recalcula el esfuerzo y se prioriza el backlog.</w:t>
      </w:r>
    </w:p>
    <w:p>
      <w:pPr>
        <w:pStyle w:val="normal1"/>
        <w:jc w:val="start"/>
        <w:rPr>
          <w:sz w:val="24"/>
          <w:szCs w:val="24"/>
        </w:rPr>
      </w:pPr>
      <w:r>
        <w:rPr>
          <w:sz w:val="24"/>
          <w:szCs w:val="24"/>
        </w:rPr>
      </w:r>
    </w:p>
    <w:p>
      <w:pPr>
        <w:pStyle w:val="normal1"/>
        <w:jc w:val="start"/>
        <w:rPr>
          <w:sz w:val="24"/>
          <w:szCs w:val="24"/>
        </w:rPr>
      </w:pPr>
      <w:r>
        <w:rPr>
          <w:sz w:val="24"/>
          <w:szCs w:val="24"/>
        </w:rPr>
      </w:r>
    </w:p>
    <w:p>
      <w:pPr>
        <w:pStyle w:val="Subtitle"/>
        <w:rPr>
          <w:b/>
          <w:bCs/>
          <w:color w:val="000000"/>
        </w:rPr>
      </w:pPr>
      <w:bookmarkStart w:id="10" w:name="_r1wlvl43hwer"/>
      <w:bookmarkEnd w:id="10"/>
      <w:r>
        <w:rPr>
          <w:b/>
          <w:bCs/>
          <w:color w:val="000000"/>
        </w:rPr>
        <w:t>Estimación del costo:</w:t>
      </w:r>
    </w:p>
    <w:p>
      <w:pPr>
        <w:pStyle w:val="normal1"/>
        <w:rPr>
          <w:sz w:val="24"/>
          <w:szCs w:val="24"/>
        </w:rPr>
      </w:pPr>
      <w:r>
        <w:rPr/>
        <w:t>Fórmula:</w:t>
      </w:r>
    </w:p>
    <w:p>
      <w:pPr>
        <w:pStyle w:val="normal1"/>
        <w:rPr>
          <w:sz w:val="24"/>
          <w:szCs w:val="24"/>
        </w:rPr>
      </w:pPr>
      <w:r>
        <w:rPr>
          <w:sz w:val="24"/>
          <w:szCs w:val="24"/>
        </w:rPr>
      </w:r>
    </w:p>
    <w:p>
      <w:pPr>
        <w:pStyle w:val="normal1"/>
        <w:jc w:val="center"/>
        <w:rPr>
          <w:sz w:val="24"/>
          <w:szCs w:val="24"/>
        </w:rPr>
      </w:pPr>
      <w:r>
        <w:rPr/>
      </w:r>
      <m:oMathPara xmlns:m="http://schemas.openxmlformats.org/officeDocument/2006/math">
        <m:oMathParaPr>
          <m:jc m:val="center"/>
        </m:oMathParaPr>
        <m:oMath>
          <m:r>
            <m:t xml:space="preserve">Costo</m:t>
          </m:r>
          <m:r>
            <m:rPr>
              <m:lit/>
              <m:nor/>
            </m:rPr>
            <m:t xml:space="preserve">=</m:t>
          </m:r>
          <m:r>
            <m:t xml:space="preserve">Esfuerzo</m:t>
          </m:r>
          <m:r>
            <m:t xml:space="preserve">×</m:t>
          </m:r>
          <m:r>
            <m:t xml:space="preserve">CostoMensual</m:t>
          </m:r>
        </m:oMath>
      </m:oMathPara>
    </w:p>
    <w:p>
      <w:pPr>
        <w:pStyle w:val="normal1"/>
        <w:jc w:val="center"/>
        <w:rPr>
          <w:sz w:val="24"/>
          <w:szCs w:val="24"/>
        </w:rPr>
      </w:pPr>
      <w:r>
        <w:rPr>
          <w:sz w:val="24"/>
          <w:szCs w:val="24"/>
        </w:rPr>
      </w:r>
    </w:p>
    <w:p>
      <w:pPr>
        <w:pStyle w:val="normal1"/>
        <w:jc w:val="start"/>
        <w:rPr>
          <w:sz w:val="24"/>
          <w:szCs w:val="24"/>
        </w:rPr>
      </w:pPr>
      <w:r>
        <w:rPr>
          <w:sz w:val="24"/>
          <w:szCs w:val="24"/>
        </w:rPr>
        <w:t xml:space="preserve">Se utiliza un costo mensual de USD </w:t>
      </w:r>
      <w:r>
        <w:rPr>
          <w:sz w:val="24"/>
          <w:szCs w:val="24"/>
        </w:rPr>
        <w:t>363</w:t>
      </w:r>
      <w:r>
        <w:rPr>
          <w:sz w:val="24"/>
          <w:szCs w:val="24"/>
        </w:rPr>
        <w:t xml:space="preserve"> por persona-mes, que incluye sueldo, cargas sociales, infraestructura y licencias. </w:t>
      </w:r>
    </w:p>
    <w:p>
      <w:pPr>
        <w:pStyle w:val="normal1"/>
        <w:jc w:val="center"/>
        <w:rPr>
          <w:sz w:val="24"/>
          <w:szCs w:val="24"/>
        </w:rPr>
      </w:pPr>
      <w:r>
        <w:rPr>
          <w:sz w:val="24"/>
          <w:szCs w:val="24"/>
        </w:rPr>
      </w:r>
    </w:p>
    <w:p>
      <w:pPr>
        <w:pStyle w:val="normal1"/>
        <w:jc w:val="center"/>
        <w:rPr>
          <w:sz w:val="24"/>
          <w:szCs w:val="24"/>
        </w:rPr>
      </w:pPr>
      <w:r>
        <w:rPr/>
        <w:t>Costo = 18 x 363(usd)</w:t>
      </w:r>
    </w:p>
    <w:p>
      <w:pPr>
        <w:pStyle w:val="normal1"/>
        <w:jc w:val="start"/>
        <w:rPr>
          <w:sz w:val="24"/>
          <w:szCs w:val="24"/>
        </w:rPr>
      </w:pPr>
      <w:r>
        <w:rPr>
          <w:sz w:val="24"/>
          <w:szCs w:val="24"/>
        </w:rPr>
      </w:r>
    </w:p>
    <w:p>
      <w:pPr>
        <w:pStyle w:val="normal1"/>
        <w:jc w:val="center"/>
        <w:rPr>
          <w:sz w:val="24"/>
          <w:szCs w:val="24"/>
        </w:rPr>
      </w:pPr>
      <w:r>
        <w:rPr/>
        <w:t>Costo = USD 6535 (Aprox. $10.000.000)</w:t>
      </w:r>
    </w:p>
    <w:p>
      <w:pPr>
        <w:pStyle w:val="normal1"/>
        <w:jc w:val="center"/>
        <w:rPr>
          <w:sz w:val="24"/>
          <w:szCs w:val="24"/>
        </w:rPr>
      </w:pPr>
      <w:r>
        <w:rPr>
          <w:sz w:val="24"/>
          <w:szCs w:val="24"/>
        </w:rPr>
      </w:r>
    </w:p>
    <w:p>
      <w:pPr>
        <w:pStyle w:val="normal1"/>
        <w:jc w:val="start"/>
        <w:rPr>
          <w:sz w:val="24"/>
          <w:szCs w:val="24"/>
        </w:rPr>
      </w:pPr>
      <w:r>
        <w:rPr>
          <w:sz w:val="24"/>
          <w:szCs w:val="24"/>
        </w:rPr>
      </w:r>
    </w:p>
    <w:sectPr>
      <w:headerReference w:type="even" r:id="rId2"/>
      <w:headerReference w:type="default" r:id="rId3"/>
      <w:headerReference w:type="first" r:id="rId4"/>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Cabeceraypie">
    <w:name w:val="Cabecera y pie"/>
    <w:basedOn w:val="Normal"/>
    <w:qFormat/>
    <w:pPr/>
    <w:rPr/>
  </w:style>
  <w:style w:type="paragraph" w:styleId="Header">
    <w:name w:val="head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LibreOffice/26.2.6.3$Linux_X86_64 LibreOffice_project/620$Build-3</Application>
  <AppVersion>15.0000</AppVersion>
  <Pages>10</Pages>
  <Words>1380</Words>
  <Characters>6387</Characters>
  <CharactersWithSpaces>7290</CharactersWithSpaces>
  <Paragraphs>531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dcterms:modified xsi:type="dcterms:W3CDTF">2026-10-21T17:45:51Z</dcterms:modified>
  <cp:revision>3</cp:revision>
  <dc:subject/>
  <dc:title/>
</cp:coreProperties>
</file>