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38"/>
          <w:szCs w:val="38"/>
        </w:rPr>
      </w:pPr>
      <w:bookmarkStart w:id="0" w:name="_heading=h.7blquw4bh2x3"/>
      <w:bookmarkEnd w:id="0"/>
      <w:commentRangeStart w:id="0"/>
      <w:sdt>
        <w:sdtPr>
          <w:tag w:val="goog_rdk_0"/>
          <w:id w:val="-109625014"/>
        </w:sdtPr>
        <w:sdtContent>
          <w:r>
            <w:rPr/>
          </w:r>
          <w:r>
            <w:rPr/>
          </w:r>
        </w:sdtContent>
      </w:sdt>
      <w:r>
        <w:rPr>
          <w:sz w:val="38"/>
          <w:szCs w:val="38"/>
        </w:rPr>
        <w:t>Estimación</w:t>
      </w:r>
      <w:r>
        <w:rPr>
          <w:sz w:val="38"/>
          <w:szCs w:val="38"/>
        </w:rPr>
      </w:r>
      <w:commentRangeEnd w:id="0"/>
      <w:r>
        <w:commentReference w:id="0"/>
      </w:r>
      <w:r>
        <w:rPr>
          <w:sz w:val="38"/>
          <w:szCs w:val="38"/>
        </w:rPr>
        <w:t xml:space="preserve"> de Puntos de Función del proyecto</w:t>
      </w:r>
    </w:p>
    <w:p>
      <w:pPr>
        <w:pStyle w:val="normal111"/>
        <w:rPr/>
      </w:pPr>
      <w:r>
        <w:rPr/>
      </w:r>
    </w:p>
    <w:p>
      <w:pPr>
        <w:pStyle w:val="Subtitle"/>
        <w:rPr>
          <w:b/>
          <w:bCs/>
          <w:color w:val="000000"/>
        </w:rPr>
      </w:pPr>
      <w:bookmarkStart w:id="1" w:name="_heading=h.cet8kf36nwzw"/>
      <w:bookmarkEnd w:id="1"/>
      <w:r>
        <w:rPr>
          <w:b/>
          <w:bCs/>
          <w:color w:val="000000"/>
        </w:rPr>
        <w:t>Tablas de cada módulo:</w:t>
      </w:r>
    </w:p>
    <w:p>
      <w:pPr>
        <w:pStyle w:val="normal111"/>
        <w:rPr/>
      </w:pPr>
      <w:r>
        <w:rPr/>
        <w:t>M1 - Carta</w:t>
      </w:r>
    </w:p>
    <w:p>
      <w:pPr>
        <w:pStyle w:val="normal111"/>
        <w:rPr/>
      </w:pPr>
      <w:r>
        <w:rPr/>
      </w:r>
    </w:p>
    <w:p>
      <w:pPr>
        <w:pStyle w:val="normal111"/>
        <w:rPr/>
      </w:pPr>
      <w:r>
        <w:rPr/>
      </w:r>
    </w:p>
    <w:tbl>
      <w:tblPr>
        <w:tblStyle w:val="Table1"/>
        <w:tblW w:w="8940" w:type="dxa"/>
        <w:jc w:val="start"/>
        <w:tblInd w:w="0" w:type="dxa"/>
        <w:tblLayout w:type="fixed"/>
        <w:tblCellMar>
          <w:top w:w="0" w:type="dxa"/>
          <w:start w:w="108" w:type="dxa"/>
          <w:bottom w:w="0" w:type="dxa"/>
          <w:end w:w="108" w:type="dxa"/>
        </w:tblCellMar>
        <w:tblLook w:val="0600"/>
      </w:tblPr>
      <w:tblGrid>
        <w:gridCol w:w="1365"/>
        <w:gridCol w:w="5847"/>
        <w:gridCol w:w="873"/>
        <w:gridCol w:w="855"/>
      </w:tblGrid>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HU</w:t>
            </w:r>
          </w:p>
        </w:tc>
        <w:tc>
          <w:tcPr>
            <w:tcW w:w="5847"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Función o entidad</w:t>
            </w:r>
          </w:p>
        </w:tc>
        <w:tc>
          <w:tcPr>
            <w:tcW w:w="873"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Tipo</w:t>
            </w:r>
          </w:p>
        </w:tc>
        <w:tc>
          <w:tcPr>
            <w:tcW w:w="85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Puntos</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Producto</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Sección</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HU-M1-01</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 plato</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HU-M1-02</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 plato</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HU-M1-03</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Dar de baja un plato</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HU-M1-04</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 postre</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HU-M1-05</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 postre</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HU-M1-06</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Dar de baja un postre</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HU-M1-07</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una bebida</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HU-M1-08</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una bebida</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HU-M1-09</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Dar de baja una bebida</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HU-M1-10</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una sección de la carta</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HU-M1-11</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una sección</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HU-M1-12</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Dar de baja una sección</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HU-M1-13</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Listar los productos</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HU-M1-14</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Ver la carta</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HU-M1-15</w:t>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Ver el reporte «productos más vendidos por período»</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EO</w:t>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5</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584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TOTAL DEL MODULO</w:t>
            </w:r>
          </w:p>
        </w:tc>
        <w:tc>
          <w:tcPr>
            <w:tcW w:w="8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85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82</w:t>
            </w:r>
          </w:p>
        </w:tc>
      </w:tr>
    </w:tbl>
    <w:p>
      <w:pPr>
        <w:pStyle w:val="normal111"/>
        <w:rPr/>
      </w:pPr>
      <w:r>
        <w:rPr/>
      </w:r>
    </w:p>
    <w:p>
      <w:pPr>
        <w:pStyle w:val="normal111"/>
        <w:rPr/>
      </w:pPr>
      <w:r>
        <w:rPr/>
      </w:r>
    </w:p>
    <w:p>
      <w:pPr>
        <w:pStyle w:val="normal111"/>
        <w:rPr/>
      </w:pPr>
      <w:r>
        <w:rPr/>
      </w:r>
      <w:r>
        <w:br w:type="page"/>
      </w:r>
    </w:p>
    <w:p>
      <w:pPr>
        <w:pStyle w:val="normal111"/>
        <w:spacing w:lineRule="auto" w:line="240" w:before="0" w:after="0"/>
        <w:rPr/>
      </w:pPr>
      <w:r>
        <w:rPr/>
        <w:t>M2 - Menús y Promociones</w:t>
      </w:r>
    </w:p>
    <w:p>
      <w:pPr>
        <w:pStyle w:val="normal111"/>
        <w:rPr>
          <w:sz w:val="18"/>
          <w:szCs w:val="18"/>
        </w:rPr>
      </w:pPr>
      <w:r>
        <w:rPr>
          <w:sz w:val="18"/>
          <w:szCs w:val="18"/>
        </w:rPr>
      </w:r>
    </w:p>
    <w:p>
      <w:pPr>
        <w:pStyle w:val="normal111"/>
        <w:rPr>
          <w:sz w:val="18"/>
          <w:szCs w:val="18"/>
        </w:rPr>
      </w:pPr>
      <w:r>
        <w:rPr>
          <w:sz w:val="18"/>
          <w:szCs w:val="18"/>
        </w:rPr>
      </w:r>
    </w:p>
    <w:tbl>
      <w:tblPr>
        <w:tblStyle w:val="Table2"/>
        <w:tblW w:w="8940" w:type="dxa"/>
        <w:jc w:val="start"/>
        <w:tblInd w:w="0" w:type="dxa"/>
        <w:tblLayout w:type="fixed"/>
        <w:tblCellMar>
          <w:top w:w="0" w:type="dxa"/>
          <w:start w:w="108" w:type="dxa"/>
          <w:bottom w:w="0" w:type="dxa"/>
          <w:end w:w="108" w:type="dxa"/>
        </w:tblCellMar>
        <w:tblLook w:val="0600"/>
      </w:tblPr>
      <w:tblGrid>
        <w:gridCol w:w="1365"/>
        <w:gridCol w:w="6073"/>
        <w:gridCol w:w="707"/>
        <w:gridCol w:w="795"/>
      </w:tblGrid>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HU</w:t>
            </w:r>
          </w:p>
        </w:tc>
        <w:tc>
          <w:tcPr>
            <w:tcW w:w="6073"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Función o entidad</w:t>
            </w:r>
          </w:p>
        </w:tc>
        <w:tc>
          <w:tcPr>
            <w:tcW w:w="707"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Tipo</w:t>
            </w:r>
          </w:p>
        </w:tc>
        <w:tc>
          <w:tcPr>
            <w:tcW w:w="79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Puntos</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MenuEjecutivo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Promocion</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HU-M2-01</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 menú ejecutivo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HU-M2-02</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 menú ejecutivo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HU-M2-03</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Eliminar un menú ejecutivo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HU-M2-04</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 menú del día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HU-M2-05</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 menú del día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HU-M2-06</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Eliminar un menú del día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HU-M2-07</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una promoción</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HU-M2-08</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una promoción</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HU-M2-09</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Finalizar una promoción</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HU-M2-10</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Ver el reporte «ventas de menús y promociones por período»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EO</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5</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TOTAL DEL MODULO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61</w:t>
            </w:r>
          </w:p>
        </w:tc>
      </w:tr>
    </w:tbl>
    <w:p>
      <w:pPr>
        <w:pStyle w:val="normal111"/>
        <w:rPr>
          <w:sz w:val="18"/>
          <w:szCs w:val="18"/>
        </w:rPr>
      </w:pPr>
      <w:r>
        <w:rPr>
          <w:sz w:val="18"/>
          <w:szCs w:val="18"/>
        </w:rPr>
      </w:r>
    </w:p>
    <w:p>
      <w:pPr>
        <w:pStyle w:val="normal111"/>
        <w:rPr>
          <w:sz w:val="18"/>
          <w:szCs w:val="18"/>
        </w:rPr>
      </w:pPr>
      <w:r>
        <w:rPr>
          <w:sz w:val="18"/>
          <w:szCs w:val="18"/>
        </w:rPr>
      </w:r>
    </w:p>
    <w:p>
      <w:pPr>
        <w:pStyle w:val="normal111"/>
        <w:rPr>
          <w:sz w:val="18"/>
          <w:szCs w:val="18"/>
        </w:rPr>
      </w:pPr>
      <w:r>
        <w:rPr>
          <w:sz w:val="18"/>
          <w:szCs w:val="18"/>
        </w:rPr>
      </w:r>
      <w:r>
        <w:br w:type="page"/>
      </w:r>
    </w:p>
    <w:p>
      <w:pPr>
        <w:pStyle w:val="normal111"/>
        <w:spacing w:lineRule="auto" w:line="240" w:before="0" w:after="0"/>
        <w:rPr/>
      </w:pPr>
      <w:r>
        <w:rPr/>
        <w:t>M3 - Salón y Mozos</w:t>
      </w:r>
    </w:p>
    <w:p>
      <w:pPr>
        <w:pStyle w:val="normal111"/>
        <w:rPr/>
      </w:pPr>
      <w:r>
        <w:rPr/>
      </w:r>
    </w:p>
    <w:p>
      <w:pPr>
        <w:pStyle w:val="normal111"/>
        <w:rPr/>
      </w:pPr>
      <w:r>
        <w:rPr/>
      </w:r>
    </w:p>
    <w:tbl>
      <w:tblPr>
        <w:tblStyle w:val="Table3"/>
        <w:tblW w:w="8940" w:type="dxa"/>
        <w:jc w:val="start"/>
        <w:tblInd w:w="0" w:type="dxa"/>
        <w:tblLayout w:type="fixed"/>
        <w:tblCellMar>
          <w:top w:w="0" w:type="dxa"/>
          <w:start w:w="108" w:type="dxa"/>
          <w:bottom w:w="0" w:type="dxa"/>
          <w:end w:w="108" w:type="dxa"/>
        </w:tblCellMar>
        <w:tblLook w:val="0600"/>
      </w:tblPr>
      <w:tblGrid>
        <w:gridCol w:w="1365"/>
        <w:gridCol w:w="5862"/>
        <w:gridCol w:w="843"/>
        <w:gridCol w:w="870"/>
      </w:tblGrid>
      <w:tr>
        <w:trPr>
          <w:trHeight w:val="386" w:hRule="atLeast"/>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HU</w:t>
            </w:r>
          </w:p>
        </w:tc>
        <w:tc>
          <w:tcPr>
            <w:tcW w:w="5862"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Función o entidad</w:t>
            </w:r>
          </w:p>
        </w:tc>
        <w:tc>
          <w:tcPr>
            <w:tcW w:w="843"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Tipo</w:t>
            </w:r>
          </w:p>
        </w:tc>
        <w:tc>
          <w:tcPr>
            <w:tcW w:w="870"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Puntos</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Sector</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Mesa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Mozo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HU-M3-01</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Agregar un sector</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HU-M3-02</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 sector</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HU-M3-03</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Eliminar un sector</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HU-M3-04</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Listar los sectores</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HU-M3-05</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una mesa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HU-M3-06</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una mesa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HU-M3-07</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Eliminar una mesa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HU-M3-08</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Listar las mesas</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HU-M3-09</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Dar de alta un mozo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HU-M3-10</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 mozo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HU-M3-11</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Dar de baja un mozo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rHeight w:val="401" w:hRule="atLeast"/>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HU-M3-12</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Listar los mozos</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HU-M3-13</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Ver el reporte «mesas atendidas y ventas por mozo»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EO</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5</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TOTAL DEL MÓDULO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86</w:t>
            </w:r>
          </w:p>
        </w:tc>
      </w:tr>
    </w:tbl>
    <w:p>
      <w:pPr>
        <w:pStyle w:val="normal111"/>
        <w:rPr>
          <w:sz w:val="18"/>
          <w:szCs w:val="18"/>
        </w:rPr>
      </w:pPr>
      <w:r>
        <w:rPr>
          <w:sz w:val="18"/>
          <w:szCs w:val="18"/>
        </w:rPr>
      </w:r>
    </w:p>
    <w:p>
      <w:pPr>
        <w:pStyle w:val="normal111"/>
        <w:rPr>
          <w:sz w:val="18"/>
          <w:szCs w:val="18"/>
        </w:rPr>
      </w:pPr>
      <w:r>
        <w:rPr>
          <w:sz w:val="18"/>
          <w:szCs w:val="18"/>
        </w:rPr>
      </w:r>
    </w:p>
    <w:p>
      <w:pPr>
        <w:pStyle w:val="normal111"/>
        <w:rPr>
          <w:sz w:val="18"/>
          <w:szCs w:val="18"/>
        </w:rPr>
      </w:pPr>
      <w:r>
        <w:rPr>
          <w:sz w:val="18"/>
          <w:szCs w:val="18"/>
        </w:rPr>
      </w:r>
      <w:r>
        <w:br w:type="page"/>
      </w:r>
    </w:p>
    <w:p>
      <w:pPr>
        <w:pStyle w:val="normal111"/>
        <w:spacing w:lineRule="auto" w:line="240" w:before="0" w:after="0"/>
        <w:rPr/>
      </w:pPr>
      <w:r>
        <w:rPr/>
        <w:t>M4 - Atención al Público</w:t>
      </w:r>
    </w:p>
    <w:p>
      <w:pPr>
        <w:pStyle w:val="normal111"/>
        <w:rPr/>
      </w:pPr>
      <w:r>
        <w:rPr/>
      </w:r>
    </w:p>
    <w:p>
      <w:pPr>
        <w:pStyle w:val="normal111"/>
        <w:rPr/>
      </w:pPr>
      <w:r>
        <w:rPr/>
      </w:r>
    </w:p>
    <w:tbl>
      <w:tblPr>
        <w:tblStyle w:val="Table4"/>
        <w:tblW w:w="8940" w:type="dxa"/>
        <w:jc w:val="start"/>
        <w:tblInd w:w="0" w:type="dxa"/>
        <w:tblLayout w:type="fixed"/>
        <w:tblCellMar>
          <w:top w:w="0" w:type="dxa"/>
          <w:start w:w="108" w:type="dxa"/>
          <w:bottom w:w="0" w:type="dxa"/>
          <w:end w:w="108" w:type="dxa"/>
        </w:tblCellMar>
        <w:tblLook w:val="0600"/>
      </w:tblPr>
      <w:tblGrid>
        <w:gridCol w:w="1365"/>
        <w:gridCol w:w="5862"/>
        <w:gridCol w:w="843"/>
        <w:gridCol w:w="870"/>
      </w:tblGrid>
      <w:tr>
        <w:trPr>
          <w:trHeight w:val="386" w:hRule="atLeast"/>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HU</w:t>
            </w:r>
          </w:p>
        </w:tc>
        <w:tc>
          <w:tcPr>
            <w:tcW w:w="5862"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Función o entidad</w:t>
            </w:r>
          </w:p>
        </w:tc>
        <w:tc>
          <w:tcPr>
            <w:tcW w:w="843"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Tipo</w:t>
            </w:r>
          </w:p>
        </w:tc>
        <w:tc>
          <w:tcPr>
            <w:tcW w:w="870"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Puntos</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Comanda (con su detalle)</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Cliente</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HU-M4-01</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 cliente</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HU-M4-02</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 cliente</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HU-M4-03</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Listar los clientes</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HU-M4-04</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una comanda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HU-M4-05</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una comanda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HU-M4-06</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Eliminar una comanda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HU-M4-07</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Listar las comandas</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HU-M4-08</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Marcar un producto como entregado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HU-M4-09</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Cerrar una comanda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HU-M4-10</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Reabrir una comanda</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HU-M4-11</w:t>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Ver el reporte «comandas y ticket promedio por día/turno»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EO</w:t>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5</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5862"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TOTAL DEL MÓDULO</w:t>
            </w:r>
          </w:p>
        </w:tc>
        <w:tc>
          <w:tcPr>
            <w:tcW w:w="84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870"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67</w:t>
            </w:r>
          </w:p>
        </w:tc>
      </w:tr>
    </w:tbl>
    <w:p>
      <w:pPr>
        <w:pStyle w:val="normal111"/>
        <w:rPr>
          <w:sz w:val="18"/>
          <w:szCs w:val="18"/>
        </w:rPr>
      </w:pPr>
      <w:r>
        <w:rPr>
          <w:sz w:val="18"/>
          <w:szCs w:val="18"/>
        </w:rPr>
      </w:r>
    </w:p>
    <w:p>
      <w:pPr>
        <w:pStyle w:val="normal111"/>
        <w:rPr>
          <w:sz w:val="18"/>
          <w:szCs w:val="18"/>
        </w:rPr>
      </w:pPr>
      <w:r>
        <w:rPr>
          <w:sz w:val="18"/>
          <w:szCs w:val="18"/>
        </w:rPr>
      </w:r>
    </w:p>
    <w:p>
      <w:pPr>
        <w:pStyle w:val="normal111"/>
        <w:rPr>
          <w:sz w:val="18"/>
          <w:szCs w:val="18"/>
        </w:rPr>
      </w:pPr>
      <w:r>
        <w:rPr>
          <w:sz w:val="18"/>
          <w:szCs w:val="18"/>
        </w:rPr>
      </w:r>
      <w:r>
        <w:br w:type="page"/>
      </w:r>
    </w:p>
    <w:p>
      <w:pPr>
        <w:pStyle w:val="normal111"/>
        <w:spacing w:lineRule="auto" w:line="240" w:before="0" w:after="0"/>
        <w:rPr/>
      </w:pPr>
      <w:r>
        <w:rPr/>
        <w:t>M5 - Reservas</w:t>
      </w:r>
    </w:p>
    <w:p>
      <w:pPr>
        <w:pStyle w:val="normal111"/>
        <w:rPr>
          <w:sz w:val="18"/>
          <w:szCs w:val="18"/>
        </w:rPr>
      </w:pPr>
      <w:r>
        <w:rPr>
          <w:sz w:val="18"/>
          <w:szCs w:val="18"/>
        </w:rPr>
      </w:r>
    </w:p>
    <w:p>
      <w:pPr>
        <w:pStyle w:val="normal111"/>
        <w:rPr>
          <w:sz w:val="18"/>
          <w:szCs w:val="18"/>
        </w:rPr>
      </w:pPr>
      <w:r>
        <w:rPr>
          <w:sz w:val="18"/>
          <w:szCs w:val="18"/>
        </w:rPr>
      </w:r>
    </w:p>
    <w:tbl>
      <w:tblPr>
        <w:tblStyle w:val="Table5"/>
        <w:tblW w:w="8940" w:type="dxa"/>
        <w:jc w:val="start"/>
        <w:tblInd w:w="0" w:type="dxa"/>
        <w:tblLayout w:type="fixed"/>
        <w:tblCellMar>
          <w:top w:w="0" w:type="dxa"/>
          <w:start w:w="108" w:type="dxa"/>
          <w:bottom w:w="0" w:type="dxa"/>
          <w:end w:w="108" w:type="dxa"/>
        </w:tblCellMar>
        <w:tblLook w:val="0600"/>
      </w:tblPr>
      <w:tblGrid>
        <w:gridCol w:w="1365"/>
        <w:gridCol w:w="6073"/>
        <w:gridCol w:w="707"/>
        <w:gridCol w:w="795"/>
      </w:tblGrid>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HU</w:t>
            </w:r>
          </w:p>
        </w:tc>
        <w:tc>
          <w:tcPr>
            <w:tcW w:w="6073"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Función o entidad</w:t>
            </w:r>
          </w:p>
        </w:tc>
        <w:tc>
          <w:tcPr>
            <w:tcW w:w="707"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Tipo</w:t>
            </w:r>
          </w:p>
        </w:tc>
        <w:tc>
          <w:tcPr>
            <w:tcW w:w="79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Puntos</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Reserva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HU-M5-01</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una reserva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HU-M5-02</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una reserva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HU-M5-03</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Listar las reservas</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HU-M5-04</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Cancelar una reserva anticipadamente</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HU-M5-05</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Cancelar una reserva por ausencia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HU-M5-06</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una comanda a partir de una reserva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HU-M5-07</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Ver el reporte «reservas y ausentismo por período»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EO</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5</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TOTAL DEL MÓDULO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40</w:t>
            </w:r>
          </w:p>
        </w:tc>
      </w:tr>
    </w:tbl>
    <w:p>
      <w:pPr>
        <w:pStyle w:val="normal111"/>
        <w:rPr>
          <w:sz w:val="18"/>
          <w:szCs w:val="18"/>
        </w:rPr>
      </w:pPr>
      <w:r>
        <w:rPr>
          <w:sz w:val="18"/>
          <w:szCs w:val="18"/>
        </w:rPr>
      </w:r>
    </w:p>
    <w:p>
      <w:pPr>
        <w:pStyle w:val="normal111"/>
        <w:rPr>
          <w:sz w:val="18"/>
          <w:szCs w:val="18"/>
        </w:rPr>
      </w:pPr>
      <w:r>
        <w:rPr>
          <w:sz w:val="18"/>
          <w:szCs w:val="18"/>
        </w:rPr>
      </w:r>
    </w:p>
    <w:p>
      <w:pPr>
        <w:pStyle w:val="normal111"/>
        <w:rPr>
          <w:sz w:val="18"/>
          <w:szCs w:val="18"/>
        </w:rPr>
      </w:pPr>
      <w:r>
        <w:rPr>
          <w:sz w:val="18"/>
          <w:szCs w:val="18"/>
        </w:rPr>
      </w:r>
    </w:p>
    <w:p>
      <w:pPr>
        <w:pStyle w:val="normal111"/>
        <w:rPr>
          <w:sz w:val="18"/>
          <w:szCs w:val="18"/>
        </w:rPr>
      </w:pPr>
      <w:r>
        <w:rPr>
          <w:sz w:val="18"/>
          <w:szCs w:val="18"/>
        </w:rPr>
      </w:r>
      <w:r>
        <w:br w:type="page"/>
      </w:r>
    </w:p>
    <w:p>
      <w:pPr>
        <w:pStyle w:val="normal111"/>
        <w:spacing w:lineRule="auto" w:line="240" w:before="0" w:after="0"/>
        <w:rPr/>
      </w:pPr>
      <w:r>
        <w:rPr/>
        <w:t>M6 - Pagos</w:t>
      </w:r>
    </w:p>
    <w:p>
      <w:pPr>
        <w:pStyle w:val="normal111"/>
        <w:rPr>
          <w:sz w:val="18"/>
          <w:szCs w:val="18"/>
        </w:rPr>
      </w:pPr>
      <w:r>
        <w:rPr>
          <w:sz w:val="18"/>
          <w:szCs w:val="18"/>
        </w:rPr>
      </w:r>
    </w:p>
    <w:p>
      <w:pPr>
        <w:pStyle w:val="normal111"/>
        <w:rPr>
          <w:sz w:val="18"/>
          <w:szCs w:val="18"/>
        </w:rPr>
      </w:pPr>
      <w:r>
        <w:rPr>
          <w:sz w:val="18"/>
          <w:szCs w:val="18"/>
        </w:rPr>
      </w:r>
    </w:p>
    <w:tbl>
      <w:tblPr>
        <w:tblStyle w:val="Table6"/>
        <w:tblW w:w="8940" w:type="dxa"/>
        <w:jc w:val="start"/>
        <w:tblInd w:w="0" w:type="dxa"/>
        <w:tblLayout w:type="fixed"/>
        <w:tblCellMar>
          <w:top w:w="0" w:type="dxa"/>
          <w:start w:w="108" w:type="dxa"/>
          <w:bottom w:w="0" w:type="dxa"/>
          <w:end w:w="108" w:type="dxa"/>
        </w:tblCellMar>
        <w:tblLook w:val="0600"/>
      </w:tblPr>
      <w:tblGrid>
        <w:gridCol w:w="1365"/>
        <w:gridCol w:w="6073"/>
        <w:gridCol w:w="707"/>
        <w:gridCol w:w="795"/>
      </w:tblGrid>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HU</w:t>
            </w:r>
          </w:p>
        </w:tc>
        <w:tc>
          <w:tcPr>
            <w:tcW w:w="6073"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Función o entidad</w:t>
            </w:r>
          </w:p>
        </w:tc>
        <w:tc>
          <w:tcPr>
            <w:tcW w:w="707"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Tipo</w:t>
            </w:r>
          </w:p>
        </w:tc>
        <w:tc>
          <w:tcPr>
            <w:tcW w:w="79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Puntos</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Factura (con su detalle)</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Cobro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jc w:val="center"/>
              <w:rPr>
                <w:sz w:val="18"/>
                <w:szCs w:val="18"/>
              </w:rPr>
            </w:pPr>
            <w:r>
              <w:rPr>
                <w:sz w:val="18"/>
                <w:szCs w:val="18"/>
              </w:rPr>
              <w:t>-</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MedioPago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ILF</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10</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HU-M6-01</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Generar la factura de una comanda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HU-M6-02</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Cobrar una factura adeudada</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HU-M6-03</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Generar el comprobante de pago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HU-M6-04</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Crear un medio de pago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HU-M6-05</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Modificar un medio de pago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HU-M6-06</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Eliminar un medio de pago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EI</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HU-M6-07</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Listar los medios de pago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EQ</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4</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HU-M6-08</w:t>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Ver el reporte «recaudación por medio de pago y deuda pendiente»</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EO</w:t>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5</w:t>
            </w:r>
          </w:p>
        </w:tc>
      </w:tr>
      <w:tr>
        <w:trPr/>
        <w:tc>
          <w:tcPr>
            <w:tcW w:w="136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6073"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TOTAL DEL MÓDULO</w:t>
            </w:r>
          </w:p>
        </w:tc>
        <w:tc>
          <w:tcPr>
            <w:tcW w:w="707"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r>
          </w:p>
        </w:tc>
        <w:tc>
          <w:tcPr>
            <w:tcW w:w="795" w:type="dxa"/>
            <w:tcBorders>
              <w:top w:val="single" w:sz="8" w:space="0" w:color="000000"/>
              <w:bottom w:val="single" w:sz="8" w:space="0" w:color="000000"/>
            </w:tcBorders>
            <w:shd w:fill="auto" w:val="clear"/>
          </w:tcPr>
          <w:p>
            <w:pPr>
              <w:pStyle w:val="normal111"/>
              <w:widowControl w:val="false"/>
              <w:spacing w:lineRule="auto" w:line="240"/>
              <w:rPr>
                <w:sz w:val="18"/>
                <w:szCs w:val="18"/>
              </w:rPr>
            </w:pPr>
            <w:r>
              <w:rPr>
                <w:sz w:val="18"/>
                <w:szCs w:val="18"/>
              </w:rPr>
              <w:t>64</w:t>
            </w:r>
          </w:p>
        </w:tc>
      </w:tr>
    </w:tbl>
    <w:p>
      <w:pPr>
        <w:pStyle w:val="normal111"/>
        <w:rPr>
          <w:sz w:val="18"/>
          <w:szCs w:val="18"/>
        </w:rPr>
      </w:pPr>
      <w:r>
        <w:rPr>
          <w:sz w:val="18"/>
          <w:szCs w:val="18"/>
        </w:rPr>
      </w:r>
    </w:p>
    <w:p>
      <w:pPr>
        <w:pStyle w:val="normal111"/>
        <w:rPr>
          <w:sz w:val="18"/>
          <w:szCs w:val="18"/>
        </w:rPr>
      </w:pPr>
      <w:r>
        <w:rPr>
          <w:sz w:val="18"/>
          <w:szCs w:val="18"/>
        </w:rPr>
      </w:r>
    </w:p>
    <w:p>
      <w:pPr>
        <w:pStyle w:val="normal111"/>
        <w:rPr>
          <w:sz w:val="18"/>
          <w:szCs w:val="18"/>
        </w:rPr>
      </w:pPr>
      <w:r>
        <w:rPr>
          <w:sz w:val="18"/>
          <w:szCs w:val="18"/>
        </w:rPr>
      </w:r>
    </w:p>
    <w:p>
      <w:pPr>
        <w:pStyle w:val="normal111"/>
        <w:rPr>
          <w:sz w:val="18"/>
          <w:szCs w:val="18"/>
        </w:rPr>
      </w:pPr>
      <w:r>
        <w:rPr>
          <w:sz w:val="18"/>
          <w:szCs w:val="18"/>
        </w:rPr>
      </w:r>
    </w:p>
    <w:p>
      <w:pPr>
        <w:pStyle w:val="Subtitle"/>
        <w:rPr>
          <w:b/>
          <w:bCs/>
        </w:rPr>
      </w:pPr>
      <w:bookmarkStart w:id="2" w:name="_heading=h.4b6a3owmy7pq"/>
      <w:bookmarkEnd w:id="2"/>
      <w:r>
        <w:rPr>
          <w:b/>
          <w:bCs/>
          <w:color w:val="000000"/>
        </w:rPr>
        <w:t>Resumen de puntos de función:</w:t>
      </w:r>
    </w:p>
    <w:tbl>
      <w:tblPr>
        <w:tblStyle w:val="Table7"/>
        <w:tblW w:w="8925" w:type="dxa"/>
        <w:jc w:val="start"/>
        <w:tblInd w:w="0" w:type="dxa"/>
        <w:tblLayout w:type="fixed"/>
        <w:tblCellMar>
          <w:top w:w="0" w:type="dxa"/>
          <w:start w:w="108" w:type="dxa"/>
          <w:bottom w:w="0" w:type="dxa"/>
          <w:end w:w="108" w:type="dxa"/>
        </w:tblCellMar>
        <w:tblLook w:val="0600"/>
      </w:tblPr>
      <w:tblGrid>
        <w:gridCol w:w="3762"/>
        <w:gridCol w:w="828"/>
        <w:gridCol w:w="897"/>
        <w:gridCol w:w="797"/>
        <w:gridCol w:w="748"/>
        <w:gridCol w:w="871"/>
        <w:gridCol w:w="1022"/>
      </w:tblGrid>
      <w:tr>
        <w:trPr/>
        <w:tc>
          <w:tcPr>
            <w:tcW w:w="376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b/>
                <w:bCs/>
              </w:rPr>
            </w:pPr>
            <w:r>
              <w:rPr>
                <w:b/>
                <w:bCs/>
              </w:rPr>
              <w:t>Módulo</w:t>
            </w:r>
          </w:p>
        </w:tc>
        <w:tc>
          <w:tcPr>
            <w:tcW w:w="82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b/>
                <w:bCs/>
              </w:rPr>
            </w:pPr>
            <w:r>
              <w:rPr>
                <w:b/>
                <w:bCs/>
              </w:rPr>
              <w:t>ILF</w:t>
            </w:r>
          </w:p>
        </w:tc>
        <w:tc>
          <w:tcPr>
            <w:tcW w:w="8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b/>
                <w:bCs/>
              </w:rPr>
            </w:pPr>
            <w:r>
              <w:rPr>
                <w:b/>
                <w:bCs/>
              </w:rPr>
              <w:t>EIF</w:t>
            </w:r>
          </w:p>
        </w:tc>
        <w:tc>
          <w:tcPr>
            <w:tcW w:w="7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b/>
                <w:bCs/>
              </w:rPr>
            </w:pPr>
            <w:r>
              <w:rPr>
                <w:b/>
                <w:bCs/>
              </w:rPr>
              <w:t>EI</w:t>
            </w:r>
          </w:p>
        </w:tc>
        <w:tc>
          <w:tcPr>
            <w:tcW w:w="74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b/>
                <w:bCs/>
              </w:rPr>
            </w:pPr>
            <w:r>
              <w:rPr>
                <w:b/>
                <w:bCs/>
              </w:rPr>
              <w:t>EO</w:t>
            </w:r>
          </w:p>
        </w:tc>
        <w:tc>
          <w:tcPr>
            <w:tcW w:w="871"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b/>
                <w:bCs/>
              </w:rPr>
            </w:pPr>
            <w:r>
              <w:rPr>
                <w:b/>
                <w:bCs/>
              </w:rPr>
              <w:t>EQ</w:t>
            </w:r>
          </w:p>
        </w:tc>
        <w:tc>
          <w:tcPr>
            <w:tcW w:w="102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b/>
                <w:bCs/>
              </w:rPr>
            </w:pPr>
            <w:r>
              <w:rPr>
                <w:b/>
                <w:bCs/>
              </w:rPr>
              <w:t>PFSA</w:t>
            </w:r>
          </w:p>
        </w:tc>
      </w:tr>
      <w:tr>
        <w:trPr/>
        <w:tc>
          <w:tcPr>
            <w:tcW w:w="376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M1 – Carta</w:t>
            </w:r>
          </w:p>
        </w:tc>
        <w:tc>
          <w:tcPr>
            <w:tcW w:w="82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2</w:t>
            </w:r>
          </w:p>
        </w:tc>
        <w:tc>
          <w:tcPr>
            <w:tcW w:w="8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0</w:t>
            </w:r>
          </w:p>
        </w:tc>
        <w:tc>
          <w:tcPr>
            <w:tcW w:w="7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12</w:t>
            </w:r>
          </w:p>
        </w:tc>
        <w:tc>
          <w:tcPr>
            <w:tcW w:w="74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w:t>
            </w:r>
          </w:p>
        </w:tc>
        <w:tc>
          <w:tcPr>
            <w:tcW w:w="871"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2</w:t>
            </w:r>
          </w:p>
        </w:tc>
        <w:tc>
          <w:tcPr>
            <w:tcW w:w="102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81</w:t>
            </w:r>
          </w:p>
        </w:tc>
      </w:tr>
      <w:tr>
        <w:trPr/>
        <w:tc>
          <w:tcPr>
            <w:tcW w:w="376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M2 – Menús y promociones</w:t>
            </w:r>
          </w:p>
          <w:p>
            <w:pPr>
              <w:pStyle w:val="normal111"/>
              <w:keepNext w:val="false"/>
              <w:keepLines w:val="false"/>
              <w:widowControl w:val="false"/>
              <w:shd w:val="clear" w:fill="auto"/>
              <w:spacing w:lineRule="auto" w:line="240" w:before="0" w:after="0"/>
              <w:ind w:hanging="0" w:start="0" w:end="0"/>
              <w:rPr>
                <w:b/>
                <w:bCs/>
              </w:rPr>
            </w:pPr>
            <w:r>
              <w:rPr>
                <w:b/>
                <w:bCs/>
              </w:rPr>
            </w:r>
          </w:p>
        </w:tc>
        <w:tc>
          <w:tcPr>
            <w:tcW w:w="82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2</w:t>
            </w:r>
          </w:p>
        </w:tc>
        <w:tc>
          <w:tcPr>
            <w:tcW w:w="8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0</w:t>
            </w:r>
          </w:p>
        </w:tc>
        <w:tc>
          <w:tcPr>
            <w:tcW w:w="7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9</w:t>
            </w:r>
          </w:p>
        </w:tc>
        <w:tc>
          <w:tcPr>
            <w:tcW w:w="74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w:t>
            </w:r>
          </w:p>
        </w:tc>
        <w:tc>
          <w:tcPr>
            <w:tcW w:w="871"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0</w:t>
            </w:r>
          </w:p>
        </w:tc>
        <w:tc>
          <w:tcPr>
            <w:tcW w:w="102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61</w:t>
            </w:r>
          </w:p>
        </w:tc>
      </w:tr>
      <w:tr>
        <w:trPr/>
        <w:tc>
          <w:tcPr>
            <w:tcW w:w="376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M3 – Sectores, mesas y mozos</w:t>
            </w:r>
          </w:p>
          <w:p>
            <w:pPr>
              <w:pStyle w:val="normal111"/>
              <w:keepNext w:val="false"/>
              <w:keepLines w:val="false"/>
              <w:widowControl w:val="false"/>
              <w:shd w:val="clear" w:fill="auto"/>
              <w:spacing w:lineRule="auto" w:line="240" w:before="0" w:after="0"/>
              <w:ind w:hanging="0" w:start="0" w:end="0"/>
              <w:rPr>
                <w:b/>
                <w:bCs/>
              </w:rPr>
            </w:pPr>
            <w:r>
              <w:rPr>
                <w:b/>
                <w:bCs/>
              </w:rPr>
            </w:r>
          </w:p>
        </w:tc>
        <w:tc>
          <w:tcPr>
            <w:tcW w:w="82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3</w:t>
            </w:r>
          </w:p>
        </w:tc>
        <w:tc>
          <w:tcPr>
            <w:tcW w:w="8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0</w:t>
            </w:r>
          </w:p>
        </w:tc>
        <w:tc>
          <w:tcPr>
            <w:tcW w:w="7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9</w:t>
            </w:r>
          </w:p>
        </w:tc>
        <w:tc>
          <w:tcPr>
            <w:tcW w:w="74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w:t>
            </w:r>
          </w:p>
        </w:tc>
        <w:tc>
          <w:tcPr>
            <w:tcW w:w="871"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3</w:t>
            </w:r>
          </w:p>
        </w:tc>
        <w:tc>
          <w:tcPr>
            <w:tcW w:w="102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83</w:t>
            </w:r>
          </w:p>
        </w:tc>
      </w:tr>
      <w:tr>
        <w:trPr/>
        <w:tc>
          <w:tcPr>
            <w:tcW w:w="376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M4 – Clientes y comandas</w:t>
            </w:r>
          </w:p>
          <w:p>
            <w:pPr>
              <w:pStyle w:val="normal111"/>
              <w:keepNext w:val="false"/>
              <w:keepLines w:val="false"/>
              <w:widowControl w:val="false"/>
              <w:shd w:val="clear" w:fill="auto"/>
              <w:spacing w:lineRule="auto" w:line="240" w:before="0" w:after="0"/>
              <w:ind w:hanging="0" w:start="0" w:end="0"/>
              <w:rPr>
                <w:b/>
                <w:bCs/>
              </w:rPr>
            </w:pPr>
            <w:r>
              <w:rPr>
                <w:b/>
                <w:bCs/>
              </w:rPr>
            </w:r>
          </w:p>
        </w:tc>
        <w:tc>
          <w:tcPr>
            <w:tcW w:w="82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2</w:t>
            </w:r>
          </w:p>
        </w:tc>
        <w:tc>
          <w:tcPr>
            <w:tcW w:w="8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0</w:t>
            </w:r>
          </w:p>
        </w:tc>
        <w:tc>
          <w:tcPr>
            <w:tcW w:w="7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8</w:t>
            </w:r>
          </w:p>
        </w:tc>
        <w:tc>
          <w:tcPr>
            <w:tcW w:w="74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w:t>
            </w:r>
          </w:p>
        </w:tc>
        <w:tc>
          <w:tcPr>
            <w:tcW w:w="871"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2</w:t>
            </w:r>
          </w:p>
        </w:tc>
        <w:tc>
          <w:tcPr>
            <w:tcW w:w="102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65</w:t>
            </w:r>
          </w:p>
        </w:tc>
      </w:tr>
      <w:tr>
        <w:trPr/>
        <w:tc>
          <w:tcPr>
            <w:tcW w:w="376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M5 – Reservas</w:t>
            </w:r>
          </w:p>
          <w:p>
            <w:pPr>
              <w:pStyle w:val="normal111"/>
              <w:keepNext w:val="false"/>
              <w:keepLines w:val="false"/>
              <w:widowControl w:val="false"/>
              <w:shd w:val="clear" w:fill="auto"/>
              <w:spacing w:lineRule="auto" w:line="240" w:before="0" w:after="0"/>
              <w:ind w:hanging="0" w:start="0" w:end="0"/>
              <w:rPr>
                <w:b/>
                <w:bCs/>
              </w:rPr>
            </w:pPr>
            <w:r>
              <w:rPr>
                <w:b/>
                <w:bCs/>
              </w:rPr>
            </w:r>
          </w:p>
        </w:tc>
        <w:tc>
          <w:tcPr>
            <w:tcW w:w="82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w:t>
            </w:r>
          </w:p>
        </w:tc>
        <w:tc>
          <w:tcPr>
            <w:tcW w:w="8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0</w:t>
            </w:r>
          </w:p>
        </w:tc>
        <w:tc>
          <w:tcPr>
            <w:tcW w:w="7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5</w:t>
            </w:r>
          </w:p>
        </w:tc>
        <w:tc>
          <w:tcPr>
            <w:tcW w:w="74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w:t>
            </w:r>
          </w:p>
        </w:tc>
        <w:tc>
          <w:tcPr>
            <w:tcW w:w="871"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w:t>
            </w:r>
          </w:p>
        </w:tc>
        <w:tc>
          <w:tcPr>
            <w:tcW w:w="102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39</w:t>
            </w:r>
          </w:p>
        </w:tc>
      </w:tr>
      <w:tr>
        <w:trPr/>
        <w:tc>
          <w:tcPr>
            <w:tcW w:w="376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M6 – Facturación y cobros</w:t>
            </w:r>
          </w:p>
          <w:p>
            <w:pPr>
              <w:pStyle w:val="normal111"/>
              <w:keepNext w:val="false"/>
              <w:keepLines w:val="false"/>
              <w:widowControl w:val="false"/>
              <w:shd w:val="clear" w:fill="auto"/>
              <w:spacing w:lineRule="auto" w:line="240" w:before="0" w:after="0"/>
              <w:ind w:hanging="0" w:start="0" w:end="0"/>
              <w:rPr>
                <w:b/>
                <w:bCs/>
              </w:rPr>
            </w:pPr>
            <w:r>
              <w:rPr>
                <w:b/>
                <w:bCs/>
              </w:rPr>
            </w:r>
          </w:p>
        </w:tc>
        <w:tc>
          <w:tcPr>
            <w:tcW w:w="82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3</w:t>
            </w:r>
          </w:p>
        </w:tc>
        <w:tc>
          <w:tcPr>
            <w:tcW w:w="8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0</w:t>
            </w:r>
          </w:p>
        </w:tc>
        <w:tc>
          <w:tcPr>
            <w:tcW w:w="7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5</w:t>
            </w:r>
          </w:p>
        </w:tc>
        <w:tc>
          <w:tcPr>
            <w:tcW w:w="74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w:t>
            </w:r>
          </w:p>
        </w:tc>
        <w:tc>
          <w:tcPr>
            <w:tcW w:w="871"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2</w:t>
            </w:r>
          </w:p>
        </w:tc>
        <w:tc>
          <w:tcPr>
            <w:tcW w:w="102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63</w:t>
            </w:r>
          </w:p>
        </w:tc>
      </w:tr>
      <w:tr>
        <w:trPr/>
        <w:tc>
          <w:tcPr>
            <w:tcW w:w="376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TOTAL</w:t>
            </w:r>
          </w:p>
          <w:p>
            <w:pPr>
              <w:pStyle w:val="normal111"/>
              <w:keepNext w:val="false"/>
              <w:keepLines w:val="false"/>
              <w:widowControl w:val="false"/>
              <w:shd w:val="clear" w:fill="auto"/>
              <w:spacing w:lineRule="auto" w:line="240" w:before="0" w:after="0"/>
              <w:ind w:hanging="0" w:start="0" w:end="0"/>
              <w:rPr>
                <w:b/>
                <w:bCs/>
              </w:rPr>
            </w:pPr>
            <w:r>
              <w:rPr>
                <w:b/>
                <w:bCs/>
              </w:rPr>
            </w:r>
          </w:p>
        </w:tc>
        <w:tc>
          <w:tcPr>
            <w:tcW w:w="82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13</w:t>
            </w:r>
          </w:p>
        </w:tc>
        <w:tc>
          <w:tcPr>
            <w:tcW w:w="8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0</w:t>
            </w:r>
          </w:p>
        </w:tc>
        <w:tc>
          <w:tcPr>
            <w:tcW w:w="79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48</w:t>
            </w:r>
          </w:p>
        </w:tc>
        <w:tc>
          <w:tcPr>
            <w:tcW w:w="74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6</w:t>
            </w:r>
          </w:p>
        </w:tc>
        <w:tc>
          <w:tcPr>
            <w:tcW w:w="871"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10</w:t>
            </w:r>
          </w:p>
        </w:tc>
        <w:tc>
          <w:tcPr>
            <w:tcW w:w="1022"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jc w:val="center"/>
              <w:rPr/>
            </w:pPr>
            <w:r>
              <w:rPr/>
              <w:t>392</w:t>
            </w:r>
          </w:p>
        </w:tc>
      </w:tr>
    </w:tbl>
    <w:p>
      <w:pPr>
        <w:pStyle w:val="normal111"/>
        <w:rPr/>
      </w:pPr>
      <w:r>
        <w:rPr/>
      </w:r>
    </w:p>
    <w:p>
      <w:pPr>
        <w:pStyle w:val="normal111"/>
        <w:rPr>
          <w:sz w:val="18"/>
          <w:szCs w:val="18"/>
        </w:rPr>
      </w:pPr>
      <w:r>
        <w:rPr>
          <w:sz w:val="18"/>
          <w:szCs w:val="18"/>
        </w:rPr>
        <w:t>Resultado: 77 funciones identificadas con 392 PFSA en los 6 módulos.</w:t>
      </w:r>
    </w:p>
    <w:p>
      <w:pPr>
        <w:pStyle w:val="Subtitle"/>
        <w:rPr>
          <w:b/>
          <w:bCs/>
          <w:sz w:val="18"/>
          <w:szCs w:val="18"/>
        </w:rPr>
      </w:pPr>
      <w:bookmarkStart w:id="3" w:name="_heading=h.tipshmnum15a"/>
      <w:bookmarkEnd w:id="3"/>
      <w:r>
        <w:rPr>
          <w:b/>
          <w:bCs/>
          <w:color w:val="000000"/>
        </w:rPr>
        <w:t>Factores de ajuste:</w:t>
      </w:r>
    </w:p>
    <w:tbl>
      <w:tblPr>
        <w:tblStyle w:val="Table8"/>
        <w:tblW w:w="8940" w:type="dxa"/>
        <w:jc w:val="start"/>
        <w:tblInd w:w="0" w:type="dxa"/>
        <w:tblLayout w:type="fixed"/>
        <w:tblCellMar>
          <w:top w:w="0" w:type="dxa"/>
          <w:start w:w="108" w:type="dxa"/>
          <w:bottom w:w="0" w:type="dxa"/>
          <w:end w:w="108" w:type="dxa"/>
        </w:tblCellMar>
        <w:tblLook w:val="0600"/>
      </w:tblPr>
      <w:tblGrid>
        <w:gridCol w:w="630"/>
        <w:gridCol w:w="2895"/>
        <w:gridCol w:w="495"/>
        <w:gridCol w:w="4920"/>
      </w:tblGrid>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N.°</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Factor</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Fi</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Justificación</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1</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Comunicación de datos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3</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Se intercambia información entre las áreas funcionales del restaurante.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2</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Procesamiento distribuido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1</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ind w:hanging="0" w:start="0" w:end="0"/>
              <w:rPr>
                <w:sz w:val="18"/>
                <w:szCs w:val="18"/>
              </w:rPr>
            </w:pPr>
            <w:r>
              <w:rPr>
                <w:sz w:val="18"/>
                <w:szCs w:val="18"/>
              </w:rPr>
              <w:t>El procesamiento se concentra en un único servidor (FastAPI y SQLite). El frontend corre en el navegador de cada equipo y solo valida y presenta los datos que recibe</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3</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Rendimiento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3</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Las operaciones de comandas, reservas y cobros requieren respuestas ágiles.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4</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Uso intensivo de la configuración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1</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No se identifican restricciones especiales de hardware. </w:t>
            </w:r>
          </w:p>
        </w:tc>
      </w:tr>
      <w:tr>
        <w:trPr>
          <w:trHeight w:val="860" w:hRule="atLeast"/>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5</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Tasa de transacciones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3</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En los horarios de atención se registran múltiples operaciones.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6</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Entrada de datos en línea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5</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La mayoría de las funciones permiten ingresar datos de manera interactiva.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7</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Eficiencia para el usuario final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4</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El personal debe gestionar las operaciones cotidianas con facilidad.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8</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Actualización en línea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5</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Comandas, reservas y cobros requieren actualización de los datos.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9</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Procesamiento complejo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2</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Existen cálculos de facturación y reportes, sin algoritmos especialmente complejos.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10</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Reusabilidad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2</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Pueden compartirse componentes entre módulos.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11</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Facilidad de instalación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3</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Se considera conveniente simplificar la puesta en funcionamiento.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12</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Facilidad de operación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4</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El sistema debe ser fácil de utilizar por el personal del restaurante.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13</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Múltiples sitios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0</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No se especifica funcionamiento en múltiples sucursales.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14</w:t>
            </w:r>
          </w:p>
        </w:tc>
        <w:tc>
          <w:tcPr>
            <w:tcW w:w="28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Facilidad de cambios </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3</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t xml:space="preserve">Deben poder modificarse cartas, promociones y datos operativos. </w:t>
            </w:r>
          </w:p>
        </w:tc>
      </w:tr>
      <w:tr>
        <w:trPr/>
        <w:tc>
          <w:tcPr>
            <w:tcW w:w="63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r>
          </w:p>
        </w:tc>
        <w:tc>
          <w:tcPr>
            <w:tcW w:w="2895" w:type="dxa"/>
            <w:tcBorders>
              <w:top w:val="single" w:sz="8" w:space="0" w:color="000000"/>
              <w:bottom w:val="single" w:sz="8" w:space="0" w:color="000000"/>
            </w:tcBorders>
            <w:shd w:fill="auto" w:val="clear"/>
          </w:tcPr>
          <w:p>
            <w:pPr>
              <w:pStyle w:val="normal111"/>
              <w:widowControl w:val="false"/>
              <w:spacing w:lineRule="auto" w:line="240"/>
              <w:rPr>
                <w:b/>
                <w:bCs/>
                <w:sz w:val="18"/>
                <w:szCs w:val="18"/>
              </w:rPr>
            </w:pPr>
            <w:r>
              <w:rPr>
                <w:b/>
                <w:bCs/>
                <w:sz w:val="18"/>
                <w:szCs w:val="18"/>
              </w:rPr>
              <w:t>TOTAL</w:t>
            </w:r>
          </w:p>
        </w:tc>
        <w:tc>
          <w:tcPr>
            <w:tcW w:w="49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sz w:val="18"/>
                <w:szCs w:val="18"/>
              </w:rPr>
            </w:pPr>
            <w:r>
              <w:rPr>
                <w:b/>
                <w:bCs/>
                <w:sz w:val="18"/>
                <w:szCs w:val="18"/>
              </w:rPr>
              <w:t>39</w:t>
            </w:r>
          </w:p>
        </w:tc>
        <w:tc>
          <w:tcPr>
            <w:tcW w:w="4920"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sz w:val="18"/>
                <w:szCs w:val="18"/>
              </w:rPr>
            </w:pPr>
            <w:r>
              <w:rPr>
                <w:sz w:val="18"/>
                <w:szCs w:val="18"/>
              </w:rPr>
            </w:r>
          </w:p>
        </w:tc>
      </w:tr>
    </w:tbl>
    <w:p>
      <w:pPr>
        <w:pStyle w:val="normal111"/>
        <w:rPr>
          <w:sz w:val="18"/>
          <w:szCs w:val="18"/>
        </w:rPr>
      </w:pPr>
      <w:r>
        <w:rPr>
          <w:sz w:val="18"/>
          <w:szCs w:val="18"/>
        </w:rPr>
      </w:r>
    </w:p>
    <w:p>
      <w:pPr>
        <w:pStyle w:val="normal111"/>
        <w:rPr>
          <w:sz w:val="18"/>
          <w:szCs w:val="18"/>
        </w:rPr>
      </w:pPr>
      <w:r>
        <w:rPr>
          <w:sz w:val="18"/>
          <w:szCs w:val="18"/>
        </w:rPr>
      </w:r>
    </w:p>
    <w:p>
      <w:pPr>
        <w:pStyle w:val="Subtitle"/>
        <w:rPr>
          <w:color w:val="000000"/>
        </w:rPr>
      </w:pPr>
      <w:r>
        <w:rPr>
          <w:color w:val="000000"/>
        </w:rPr>
      </w:r>
      <w:bookmarkStart w:id="4" w:name="_heading=h.yu8dkvh93tih"/>
      <w:bookmarkEnd w:id="4"/>
      <w:r>
        <w:br w:type="page"/>
      </w:r>
    </w:p>
    <w:p>
      <w:pPr>
        <w:pStyle w:val="Subtitle"/>
        <w:spacing w:lineRule="auto" w:line="240" w:before="0" w:after="320"/>
        <w:rPr>
          <w:b/>
          <w:bCs/>
          <w:color w:val="000000"/>
        </w:rPr>
      </w:pPr>
      <w:bookmarkStart w:id="5" w:name="_heading=h.rla9r9mkr770"/>
      <w:bookmarkEnd w:id="5"/>
      <w:r>
        <w:rPr>
          <w:b/>
          <w:bCs/>
          <w:color w:val="000000"/>
        </w:rPr>
        <w:t>Puntos de función ajustados:</w:t>
      </w:r>
    </w:p>
    <w:p>
      <w:pPr>
        <w:pStyle w:val="normal111"/>
        <w:rPr/>
      </w:pPr>
      <w:r>
        <w:rPr/>
        <w:t>Fórmula:</w:t>
      </w:r>
    </w:p>
    <w:p>
      <w:pPr>
        <w:pStyle w:val="normal111"/>
        <w:rPr/>
      </w:pPr>
      <w:r>
        <w:rPr/>
        <w:tab/>
      </w:r>
    </w:p>
    <w:p>
      <w:pPr>
        <w:pStyle w:val="normal111"/>
        <w:jc w:val="center"/>
        <w:rPr/>
      </w:pPr>
      <w:r>
        <w:rPr/>
      </w:r>
      <m:oMathPara xmlns:m="http://schemas.openxmlformats.org/officeDocument/2006/math">
        <m:oMathParaPr>
          <m:jc m:val="center"/>
        </m:oMathParaPr>
        <m:oMath>
          <m:r>
            <m:t xml:space="preserve">PFA</m:t>
          </m:r>
          <m:r>
            <m:rPr>
              <m:lit/>
              <m:nor/>
            </m:rPr>
            <m:t xml:space="preserve">=</m:t>
          </m:r>
          <m:r>
            <m:t xml:space="preserve">PFSA</m:t>
          </m:r>
          <m:r>
            <m:t xml:space="preserve">×</m:t>
          </m:r>
          <m:r>
            <m:t xml:space="preserve">[</m:t>
          </m:r>
          <m:r>
            <m:t xml:space="preserve">0,65</m:t>
          </m:r>
          <m:r>
            <m:rPr>
              <m:lit/>
              <m:nor/>
            </m:rPr>
            <m:t xml:space="preserve">+</m:t>
          </m:r>
          <m:r>
            <m:t xml:space="preserve">(</m:t>
          </m:r>
          <m:r>
            <m:t xml:space="preserve">0,01</m:t>
          </m:r>
          <m:r>
            <m:t xml:space="preserve">×</m:t>
          </m:r>
          <m:nary>
            <m:naryPr>
              <m:chr m:val="∑"/>
            </m:naryPr>
            <m:sub/>
            <m:sup/>
            <m:e>
              <m:r>
                <m:t xml:space="preserve">Fi</m:t>
              </m:r>
              <m:r>
                <m:t xml:space="preserve">)</m:t>
              </m:r>
              <m:r>
                <m:t xml:space="preserve">]</m:t>
              </m:r>
            </m:e>
          </m:nary>
        </m:oMath>
      </m:oMathPara>
    </w:p>
    <w:p>
      <w:pPr>
        <w:pStyle w:val="normal111"/>
        <w:rPr>
          <w:sz w:val="18"/>
          <w:szCs w:val="18"/>
        </w:rPr>
      </w:pPr>
      <w:r>
        <w:rPr/>
        <w:t>Sustituimos</w:t>
      </w:r>
      <w:r>
        <w:rPr>
          <w:sz w:val="18"/>
          <w:szCs w:val="18"/>
        </w:rPr>
        <w:t>:</w:t>
      </w:r>
    </w:p>
    <w:p>
      <w:pPr>
        <w:pStyle w:val="normal111"/>
        <w:rPr/>
      </w:pPr>
      <w:r>
        <w:rPr>
          <w:sz w:val="18"/>
          <w:szCs w:val="18"/>
        </w:rPr>
        <w:tab/>
      </w:r>
    </w:p>
    <w:p>
      <w:pPr>
        <w:pStyle w:val="normal111"/>
        <w:rPr/>
      </w:pPr>
      <w:r>
        <w:rPr/>
      </w:r>
    </w:p>
    <w:p>
      <w:pPr>
        <w:pStyle w:val="normal111"/>
        <w:jc w:val="center"/>
        <w:rPr/>
      </w:pPr>
      <w:r>
        <w:rPr/>
      </w:r>
      <m:oMathPara xmlns:m="http://schemas.openxmlformats.org/officeDocument/2006/math">
        <m:oMathParaPr>
          <m:jc m:val="center"/>
        </m:oMathParaPr>
        <m:oMath>
          <m:r>
            <m:t xml:space="preserve">PFA</m:t>
          </m:r>
          <m:r>
            <m:rPr>
              <m:lit/>
              <m:nor/>
            </m:rPr>
            <m:t xml:space="preserve">=</m:t>
          </m:r>
          <m:r>
            <m:t xml:space="preserve">392</m:t>
          </m:r>
          <m:r>
            <m:t xml:space="preserve">×</m:t>
          </m:r>
          <m:r>
            <m:t xml:space="preserve">[</m:t>
          </m:r>
          <m:r>
            <m:t xml:space="preserve">0,65</m:t>
          </m:r>
          <m:r>
            <m:rPr>
              <m:lit/>
              <m:nor/>
            </m:rPr>
            <m:t xml:space="preserve">+</m:t>
          </m:r>
          <m:r>
            <m:t xml:space="preserve">(</m:t>
          </m:r>
          <m:r>
            <m:t xml:space="preserve">0,01</m:t>
          </m:r>
          <m:r>
            <m:t xml:space="preserve">×</m:t>
          </m:r>
          <m:r>
            <m:t xml:space="preserve">39</m:t>
          </m:r>
          <m:r>
            <m:t xml:space="preserve">)</m:t>
          </m:r>
          <m:r>
            <m:t xml:space="preserve">]</m:t>
          </m:r>
        </m:oMath>
      </m:oMathPara>
    </w:p>
    <w:p>
      <w:pPr>
        <w:pStyle w:val="normal111"/>
        <w:jc w:val="center"/>
        <w:rPr/>
      </w:pPr>
      <w:r>
        <w:rPr/>
      </w:r>
    </w:p>
    <w:p>
      <w:pPr>
        <w:pStyle w:val="normal111"/>
        <w:jc w:val="center"/>
        <w:rPr/>
      </w:pPr>
      <w:r>
        <w:rPr/>
      </w:r>
      <m:oMathPara xmlns:m="http://schemas.openxmlformats.org/officeDocument/2006/math">
        <m:oMathParaPr>
          <m:jc m:val="center"/>
        </m:oMathParaPr>
        <m:oMath>
          <m:r>
            <m:t xml:space="preserve">PFA</m:t>
          </m:r>
          <m:r>
            <m:rPr>
              <m:lit/>
              <m:nor/>
            </m:rPr>
            <m:t xml:space="preserve">=</m:t>
          </m:r>
          <m:r>
            <m:t xml:space="preserve">392</m:t>
          </m:r>
          <m:r>
            <m:t xml:space="preserve">×</m:t>
          </m:r>
          <m:r>
            <m:t xml:space="preserve">1,04</m:t>
          </m:r>
        </m:oMath>
      </m:oMathPara>
    </w:p>
    <w:p>
      <w:pPr>
        <w:pStyle w:val="normal111"/>
        <w:jc w:val="center"/>
        <w:rPr/>
      </w:pPr>
      <w:r>
        <w:rPr/>
      </w:r>
    </w:p>
    <w:p>
      <w:pPr>
        <w:pStyle w:val="normal111"/>
        <w:jc w:val="center"/>
        <w:rPr/>
      </w:pPr>
      <w:r>
        <w:rPr/>
      </w:r>
      <m:oMath xmlns:m="http://schemas.openxmlformats.org/officeDocument/2006/math">
        <m:r>
          <m:t xml:space="preserve">PFA</m:t>
        </m:r>
      </m:oMath>
      <w:r>
        <w:rPr/>
        <w:t xml:space="preserve"> </w:t>
      </w:r>
      <w:r>
        <w:rPr/>
        <w:t>= 407,68</w:t>
      </w:r>
    </w:p>
    <w:p>
      <w:pPr>
        <w:pStyle w:val="normal111"/>
        <w:jc w:val="center"/>
        <w:rPr/>
      </w:pPr>
      <w:r>
        <w:rPr/>
      </w:r>
    </w:p>
    <w:p>
      <w:pPr>
        <w:pStyle w:val="normal111"/>
        <w:rPr/>
      </w:pPr>
      <w:r>
        <w:rPr/>
        <w:t>El sistema tiene un tamaño estimado de 407,68 Puntos de Función Ajustados (unos 408 PFA).</w:t>
      </w:r>
    </w:p>
    <w:p>
      <w:pPr>
        <w:pStyle w:val="Subtitle"/>
        <w:rPr>
          <w:b/>
          <w:bCs/>
          <w:color w:val="000000"/>
        </w:rPr>
      </w:pPr>
      <w:r>
        <w:rPr>
          <w:b/>
          <w:bCs/>
          <w:color w:val="000000"/>
        </w:rPr>
      </w:r>
    </w:p>
    <w:p>
      <w:pPr>
        <w:pStyle w:val="normal111"/>
        <w:rPr>
          <w:b/>
          <w:bCs/>
          <w:color w:val="000000"/>
        </w:rPr>
      </w:pPr>
      <w:r>
        <w:rPr>
          <w:b/>
          <w:bCs/>
          <w:color w:val="000000"/>
        </w:rPr>
      </w:r>
      <w:bookmarkStart w:id="6" w:name="_heading=h.ruvanforzram"/>
      <w:bookmarkEnd w:id="6"/>
    </w:p>
    <w:p>
      <w:pPr>
        <w:pStyle w:val="Subtitle"/>
        <w:rPr>
          <w:b/>
          <w:bCs/>
          <w:color w:val="000000"/>
        </w:rPr>
      </w:pPr>
      <w:bookmarkStart w:id="7" w:name="_heading=h.mctddr6heeyi"/>
      <w:bookmarkEnd w:id="7"/>
      <w:r>
        <w:rPr>
          <w:b/>
          <w:bCs/>
          <w:color w:val="000000"/>
        </w:rPr>
        <w:t>Estimación de líneas de código (LDC):</w:t>
      </w:r>
    </w:p>
    <w:p>
      <w:pPr>
        <w:pStyle w:val="normal111"/>
        <w:rPr/>
      </w:pPr>
      <w:r>
        <w:rPr/>
      </w:r>
    </w:p>
    <w:tbl>
      <w:tblPr>
        <w:tblStyle w:val="Table9"/>
        <w:tblW w:w="9029" w:type="dxa"/>
        <w:jc w:val="start"/>
        <w:tblInd w:w="0" w:type="dxa"/>
        <w:tblLayout w:type="fixed"/>
        <w:tblCellMar>
          <w:top w:w="0" w:type="dxa"/>
          <w:start w:w="108" w:type="dxa"/>
          <w:bottom w:w="0" w:type="dxa"/>
          <w:end w:w="108" w:type="dxa"/>
        </w:tblCellMar>
        <w:tblLook w:val="0600"/>
      </w:tblPr>
      <w:tblGrid>
        <w:gridCol w:w="1805"/>
        <w:gridCol w:w="1806"/>
        <w:gridCol w:w="1806"/>
        <w:gridCol w:w="1806"/>
        <w:gridCol w:w="1806"/>
      </w:tblGrid>
      <w:tr>
        <w:trPr/>
        <w:tc>
          <w:tcPr>
            <w:tcW w:w="180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Capa</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Reparto</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PFA asignados</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LDC/PF</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LDC</w:t>
            </w:r>
          </w:p>
        </w:tc>
      </w:tr>
      <w:tr>
        <w:trPr/>
        <w:tc>
          <w:tcPr>
            <w:tcW w:w="180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Frontend</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45%</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183,46</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47</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8622,43</w:t>
            </w:r>
          </w:p>
        </w:tc>
      </w:tr>
      <w:tr>
        <w:trPr/>
        <w:tc>
          <w:tcPr>
            <w:tcW w:w="180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Backend</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45%</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183,46</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30</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5503,68</w:t>
            </w:r>
          </w:p>
        </w:tc>
      </w:tr>
      <w:tr>
        <w:trPr/>
        <w:tc>
          <w:tcPr>
            <w:tcW w:w="180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Base de datos</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10%</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40,77</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15</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611,52</w:t>
            </w:r>
          </w:p>
        </w:tc>
      </w:tr>
      <w:tr>
        <w:trPr/>
        <w:tc>
          <w:tcPr>
            <w:tcW w:w="1805"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TOTAL</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100%</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407,68</w:t>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r>
          </w:p>
        </w:tc>
        <w:tc>
          <w:tcPr>
            <w:tcW w:w="1806"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14737,63</w:t>
            </w:r>
          </w:p>
        </w:tc>
      </w:tr>
    </w:tbl>
    <w:p>
      <w:pPr>
        <w:pStyle w:val="normal111"/>
        <w:rPr/>
      </w:pPr>
      <w:r>
        <w:rPr/>
      </w:r>
    </w:p>
    <w:p>
      <w:pPr>
        <w:pStyle w:val="normal111"/>
        <w:rPr/>
      </w:pPr>
      <w:r>
        <w:rPr/>
        <w:t>Las líneas de código quedaron en 14738 aproximadamente.</w:t>
      </w:r>
    </w:p>
    <w:p>
      <w:pPr>
        <w:pStyle w:val="normal111"/>
        <w:rPr/>
      </w:pPr>
      <w:r>
        <w:rPr/>
      </w:r>
    </w:p>
    <w:p>
      <w:pPr>
        <w:pStyle w:val="normal111"/>
        <w:rPr/>
      </w:pPr>
      <w:r>
        <w:rPr/>
        <w:t>Justificación: Se adopta el reparto inicial presentado en el material de la cátedra.</w:t>
      </w:r>
    </w:p>
    <w:p>
      <w:pPr>
        <w:pStyle w:val="normal111"/>
        <w:rPr/>
      </w:pPr>
      <w:r>
        <w:rPr/>
      </w:r>
    </w:p>
    <w:p>
      <w:pPr>
        <w:pStyle w:val="Subtitle"/>
        <w:rPr>
          <w:b/>
          <w:bCs/>
          <w:color w:val="000000"/>
        </w:rPr>
      </w:pPr>
      <w:r>
        <w:rPr>
          <w:b/>
          <w:bCs/>
          <w:color w:val="000000"/>
        </w:rPr>
      </w:r>
      <w:bookmarkStart w:id="8" w:name="_heading=h.1v73mqq8f8uz"/>
      <w:bookmarkEnd w:id="8"/>
      <w:r>
        <w:br w:type="page"/>
      </w:r>
    </w:p>
    <w:p>
      <w:pPr>
        <w:pStyle w:val="Subtitle"/>
        <w:spacing w:lineRule="auto" w:line="240" w:before="0" w:after="320"/>
        <w:rPr>
          <w:b/>
          <w:bCs/>
          <w:color w:val="000000"/>
        </w:rPr>
      </w:pPr>
      <w:bookmarkStart w:id="9" w:name="_heading=h.iagbhw5p64if"/>
      <w:bookmarkEnd w:id="9"/>
      <w:r>
        <w:rPr>
          <w:b/>
          <w:bCs/>
          <w:color w:val="000000"/>
        </w:rPr>
        <w:t>Estimación del esfuerzo:</w:t>
      </w:r>
    </w:p>
    <w:p>
      <w:pPr>
        <w:pStyle w:val="normal111"/>
        <w:rPr/>
      </w:pPr>
      <w:r>
        <w:rPr/>
        <w:t>Al ser un equipo nuevo, que trabaja junto por primera vez, no contamos con mediciones históricas propias de productividad. Por eso se calcula con el mejor caso, 20 PF por persona-mes (el valor más alto del rango de 13 a 20 PF por persona-mes indicado por la cátedra), y al final de la sección se compara con un peor caso de 10 PF por persona-mes.</w:t>
      </w:r>
    </w:p>
    <w:p>
      <w:pPr>
        <w:pStyle w:val="normal111"/>
        <w:rPr/>
      </w:pPr>
      <w:r>
        <w:rPr/>
      </w:r>
    </w:p>
    <w:p>
      <w:pPr>
        <w:pStyle w:val="normal111"/>
        <w:rPr>
          <w:b/>
          <w:bCs/>
        </w:rPr>
      </w:pPr>
      <w:r>
        <w:rPr>
          <w:b/>
          <w:bCs/>
        </w:rPr>
        <w:t>Productividad adoptada:</w:t>
      </w:r>
    </w:p>
    <w:p>
      <w:pPr>
        <w:pStyle w:val="normal111"/>
        <w:jc w:val="center"/>
        <w:rPr/>
      </w:pPr>
      <w:r>
        <w:rPr/>
      </w:r>
      <m:oMath xmlns:m="http://schemas.openxmlformats.org/officeDocument/2006/math">
        <m:r>
          <m:t xml:space="preserve">Productividad</m:t>
        </m:r>
      </m:oMath>
      <w:r>
        <w:rPr/>
        <w:t xml:space="preserve"> </w:t>
      </w:r>
      <w:r>
        <w:rPr/>
        <w:t>= 20 PF por persona-mes</w:t>
      </w:r>
    </w:p>
    <w:p>
      <w:pPr>
        <w:pStyle w:val="normal111"/>
        <w:rPr/>
      </w:pPr>
      <w:r>
        <w:rPr/>
        <w:t>La productividad es la cantidad de Puntos de Función que cada integrante completa por mes.</w:t>
      </w:r>
    </w:p>
    <w:p>
      <w:pPr>
        <w:pStyle w:val="normal111"/>
        <w:rPr/>
      </w:pPr>
      <w:r>
        <w:rPr/>
      </w:r>
    </w:p>
    <w:p>
      <w:pPr>
        <w:pStyle w:val="normal111"/>
        <w:rPr/>
      </w:pPr>
      <w:r>
        <w:rPr/>
        <w:t>Se toma el mejor caso como valor de referencia por cuatro razones. Las HU ya están especificadas desde el Sprint 0, con criterios de aceptación, modelo de dominio y RNF. El equipo trabaja con desarrollo asistido por agentes de IA bajo Spec Driven Development: los agentes generan el código y las pruebas a partir de la spec de cada HU, y una persona del equipo los revisa. La mayoría de las funciones son ABM (48 de las 77 son entradas externas) y el procesamiento complejo es bajo (Fi = 2). Además, el repositorio base compartido (D-05) evita repetir el mismo código en los 6 módulos.</w:t>
      </w:r>
    </w:p>
    <w:p>
      <w:pPr>
        <w:pStyle w:val="normal111"/>
        <w:rPr/>
      </w:pPr>
      <w:r>
        <w:rPr/>
      </w:r>
    </w:p>
    <w:p>
      <w:pPr>
        <w:pStyle w:val="normal111"/>
        <w:rPr>
          <w:b/>
          <w:bCs/>
        </w:rPr>
      </w:pPr>
      <w:r>
        <w:rPr>
          <w:b/>
          <w:bCs/>
        </w:rPr>
        <w:t>Esfuerzo:</w:t>
      </w:r>
    </w:p>
    <w:p>
      <w:pPr>
        <w:pStyle w:val="normal111"/>
        <w:rPr/>
      </w:pPr>
      <w:r>
        <w:rPr/>
        <w:tab/>
      </w:r>
    </w:p>
    <w:p>
      <w:pPr>
        <w:pStyle w:val="normal111"/>
        <w:rPr/>
      </w:pPr>
      <w:r>
        <w:rPr/>
        <w:tab/>
      </w:r>
    </w:p>
    <w:p>
      <w:pPr>
        <w:pStyle w:val="normal111"/>
        <w:jc w:val="center"/>
        <w:rPr/>
      </w:pPr>
      <w:r>
        <w:rPr/>
      </w:r>
      <m:oMathPara xmlns:m="http://schemas.openxmlformats.org/officeDocument/2006/math">
        <m:oMathParaPr>
          <m:jc m:val="center"/>
        </m:oMathParaPr>
        <m:oMath>
          <m:r>
            <m:t xml:space="preserve">Esfuerzo</m:t>
          </m:r>
          <m:r>
            <m:rPr>
              <m:lit/>
              <m:nor/>
            </m:rPr>
            <m:t xml:space="preserve">=</m:t>
          </m:r>
          <m:f>
            <m:num>
              <m:r>
                <m:t xml:space="preserve">PFA</m:t>
              </m:r>
            </m:num>
            <m:den>
              <m:r>
                <m:t xml:space="preserve">Productividad</m:t>
              </m:r>
            </m:den>
          </m:f>
        </m:oMath>
      </m:oMathPara>
    </w:p>
    <w:p>
      <w:pPr>
        <w:pStyle w:val="normal111"/>
        <w:rPr>
          <w:sz w:val="30"/>
          <w:szCs w:val="30"/>
        </w:rPr>
      </w:pPr>
      <w:r>
        <w:rPr>
          <w:sz w:val="30"/>
          <w:szCs w:val="30"/>
        </w:rPr>
      </w:r>
    </w:p>
    <w:p>
      <w:pPr>
        <w:pStyle w:val="normal111"/>
        <w:jc w:val="center"/>
        <w:rPr/>
      </w:pPr>
      <w:r>
        <w:rPr/>
      </w:r>
      <m:oMathPara xmlns:m="http://schemas.openxmlformats.org/officeDocument/2006/math">
        <m:oMathParaPr>
          <m:jc m:val="center"/>
        </m:oMathParaPr>
        <m:oMath>
          <m:r>
            <m:t xml:space="preserve">Esfuerzo</m:t>
          </m:r>
          <m:r>
            <m:rPr>
              <m:lit/>
              <m:nor/>
            </m:rPr>
            <m:t xml:space="preserve">=</m:t>
          </m:r>
          <m:f>
            <m:num>
              <m:r>
                <m:t xml:space="preserve">407,68</m:t>
              </m:r>
            </m:num>
            <m:den>
              <m:r>
                <m:t xml:space="preserve">20</m:t>
              </m:r>
            </m:den>
          </m:f>
        </m:oMath>
      </m:oMathPara>
    </w:p>
    <w:p>
      <w:pPr>
        <w:pStyle w:val="normal111"/>
        <w:jc w:val="center"/>
        <w:rPr>
          <w:sz w:val="30"/>
          <w:szCs w:val="30"/>
        </w:rPr>
      </w:pPr>
      <w:r>
        <w:rPr>
          <w:sz w:val="30"/>
          <w:szCs w:val="30"/>
        </w:rPr>
      </w:r>
    </w:p>
    <w:p>
      <w:pPr>
        <w:pStyle w:val="normal111"/>
        <w:jc w:val="center"/>
        <w:rPr>
          <w:sz w:val="24"/>
          <w:szCs w:val="24"/>
        </w:rPr>
      </w:pPr>
      <w:r>
        <w:rPr/>
      </w:r>
      <m:oMath xmlns:m="http://schemas.openxmlformats.org/officeDocument/2006/math">
        <m:r>
          <m:t xml:space="preserve">Esfuerzo</m:t>
        </m:r>
      </m:oMath>
      <w:sdt>
        <w:sdtPr>
          <w:tag w:val="goog_rdk_1"/>
          <w:id w:val="257882279"/>
        </w:sdtPr>
        <w:sdtContent>
          <w:r>
            <w:rPr/>
          </w:r>
          <w:r>
            <w:rPr>
              <w:rFonts w:eastAsia="Arial Unicode MS" w:cs="Arial Unicode MS" w:ascii="Arial Unicode MS" w:hAnsi="Arial Unicode MS"/>
              <w:sz w:val="30"/>
              <w:szCs w:val="30"/>
            </w:rPr>
            <w:t xml:space="preserve"> ≈</w:t>
          </w:r>
        </w:sdtContent>
      </w:sdt>
      <w:r>
        <w:rPr>
          <w:sz w:val="24"/>
          <w:szCs w:val="24"/>
        </w:rPr>
        <w:t xml:space="preserve"> </w:t>
      </w:r>
      <w:r>
        <w:rPr>
          <w:sz w:val="24"/>
          <w:szCs w:val="24"/>
        </w:rPr>
        <w:t>20,38 personas-mes</w:t>
      </w:r>
    </w:p>
    <w:p>
      <w:pPr>
        <w:pStyle w:val="normal111"/>
        <w:rPr>
          <w:sz w:val="24"/>
          <w:szCs w:val="24"/>
        </w:rPr>
      </w:pPr>
      <w:r>
        <w:rPr>
          <w:sz w:val="24"/>
          <w:szCs w:val="24"/>
        </w:rPr>
      </w:r>
    </w:p>
    <w:p>
      <w:pPr>
        <w:pStyle w:val="normal111"/>
        <w:rPr>
          <w:b/>
          <w:bCs/>
        </w:rPr>
      </w:pPr>
      <w:r>
        <w:rPr>
          <w:b/>
          <w:bCs/>
        </w:rPr>
        <w:t>Duración:</w:t>
      </w:r>
    </w:p>
    <w:p>
      <w:pPr>
        <w:pStyle w:val="normal111"/>
        <w:jc w:val="center"/>
        <w:rPr/>
      </w:pPr>
      <w:r>
        <w:rPr/>
      </w:r>
      <m:oMathPara xmlns:m="http://schemas.openxmlformats.org/officeDocument/2006/math">
        <m:oMathParaPr>
          <m:jc m:val="center"/>
        </m:oMathParaPr>
        <m:oMath>
          <m:r>
            <m:t xml:space="preserve">Duración</m:t>
          </m:r>
          <m:r>
            <m:rPr>
              <m:lit/>
              <m:nor/>
            </m:rPr>
            <m:t xml:space="preserve">=</m:t>
          </m:r>
          <m:f>
            <m:num>
              <m:r>
                <m:t xml:space="preserve">Esfuerzo</m:t>
              </m:r>
            </m:num>
            <m:den>
              <m:r>
                <m:t xml:space="preserve">Integrantes</m:t>
              </m:r>
            </m:den>
          </m:f>
        </m:oMath>
      </m:oMathPara>
    </w:p>
    <w:p>
      <w:pPr>
        <w:pStyle w:val="normal111"/>
        <w:rPr>
          <w:sz w:val="24"/>
          <w:szCs w:val="24"/>
        </w:rPr>
      </w:pPr>
      <w:r>
        <w:rPr>
          <w:sz w:val="24"/>
          <w:szCs w:val="24"/>
        </w:rPr>
      </w:r>
    </w:p>
    <w:p>
      <w:pPr>
        <w:pStyle w:val="normal111"/>
        <w:jc w:val="center"/>
        <w:rPr/>
      </w:pPr>
      <w:r>
        <w:rPr/>
      </w:r>
      <m:oMathPara xmlns:m="http://schemas.openxmlformats.org/officeDocument/2006/math">
        <m:oMathParaPr>
          <m:jc m:val="center"/>
        </m:oMathParaPr>
        <m:oMath>
          <m:r>
            <m:t xml:space="preserve">Duración</m:t>
          </m:r>
          <m:r>
            <m:rPr>
              <m:lit/>
              <m:nor/>
            </m:rPr>
            <m:t xml:space="preserve">=</m:t>
          </m:r>
          <m:f>
            <m:num>
              <m:r>
                <m:t xml:space="preserve">20,38</m:t>
              </m:r>
            </m:num>
            <m:den>
              <m:r>
                <m:t xml:space="preserve">6</m:t>
              </m:r>
            </m:den>
          </m:f>
        </m:oMath>
      </m:oMathPara>
    </w:p>
    <w:p>
      <w:pPr>
        <w:pStyle w:val="normal111"/>
        <w:jc w:val="center"/>
        <w:rPr>
          <w:sz w:val="30"/>
          <w:szCs w:val="30"/>
        </w:rPr>
      </w:pPr>
      <w:r>
        <w:rPr>
          <w:sz w:val="30"/>
          <w:szCs w:val="30"/>
        </w:rPr>
      </w:r>
    </w:p>
    <w:p>
      <w:pPr>
        <w:pStyle w:val="normal111"/>
        <w:jc w:val="center"/>
        <w:rPr>
          <w:sz w:val="24"/>
          <w:szCs w:val="24"/>
        </w:rPr>
      </w:pPr>
      <w:r>
        <w:rPr/>
      </w:r>
      <m:oMath xmlns:m="http://schemas.openxmlformats.org/officeDocument/2006/math">
        <m:r>
          <m:t xml:space="preserve">Duración</m:t>
        </m:r>
      </m:oMath>
      <w:sdt>
        <w:sdtPr>
          <w:tag w:val="goog_rdk_2"/>
          <w:id w:val="2076671281"/>
        </w:sdtPr>
        <w:sdtContent>
          <w:r>
            <w:rPr/>
          </w:r>
          <w:r>
            <w:rPr>
              <w:rFonts w:eastAsia="Arial Unicode MS" w:cs="Arial Unicode MS" w:ascii="Arial Unicode MS" w:hAnsi="Arial Unicode MS"/>
              <w:sz w:val="30"/>
              <w:szCs w:val="30"/>
            </w:rPr>
            <w:t xml:space="preserve"> ≈</w:t>
          </w:r>
        </w:sdtContent>
      </w:sdt>
      <w:r>
        <w:rPr>
          <w:sz w:val="24"/>
          <w:szCs w:val="24"/>
        </w:rPr>
        <w:t xml:space="preserve"> </w:t>
      </w:r>
      <w:r>
        <w:rPr>
          <w:sz w:val="24"/>
          <w:szCs w:val="24"/>
        </w:rPr>
        <w:t>3,4 meses</w:t>
      </w:r>
    </w:p>
    <w:p>
      <w:pPr>
        <w:pStyle w:val="normal111"/>
        <w:rPr>
          <w:sz w:val="24"/>
          <w:szCs w:val="24"/>
        </w:rPr>
      </w:pPr>
      <w:r>
        <w:rPr>
          <w:sz w:val="24"/>
          <w:szCs w:val="24"/>
        </w:rPr>
      </w:r>
    </w:p>
    <w:p>
      <w:pPr>
        <w:pStyle w:val="normal111"/>
        <w:rPr>
          <w:sz w:val="24"/>
          <w:szCs w:val="24"/>
        </w:rPr>
      </w:pPr>
      <w:r>
        <w:rPr>
          <w:sz w:val="24"/>
          <w:szCs w:val="24"/>
        </w:rPr>
        <w:t>El plazo fijado por la cátedra es de 3 meses. Con 6 integrantes que trabajan de lunes a viernes, 20 días por mes y 8 horas por día, el cálculo da 3,4 meses: unos 8 días hábiles más que el plazo. El equipo planifica el proyecto con los 3 meses y las 8 horas diarias, y considera esa diferencia parte del margen de error de la estimación, ya que el equipo está seguro que finalizara antes.</w:t>
      </w:r>
    </w:p>
    <w:p>
      <w:pPr>
        <w:pStyle w:val="normal111"/>
        <w:rPr>
          <w:sz w:val="24"/>
          <w:szCs w:val="24"/>
        </w:rPr>
      </w:pPr>
      <w:r>
        <w:rPr>
          <w:sz w:val="24"/>
          <w:szCs w:val="24"/>
        </w:rPr>
        <w:t xml:space="preserve">Supuesto: la productividad de </w:t>
      </w:r>
      <w:commentRangeStart w:id="1"/>
      <w:sdt>
        <w:sdtPr>
          <w:tag w:val="goog_rdk_3"/>
          <w:id w:val="639400355"/>
        </w:sdtPr>
        <w:sdtContent>
          <w:r>
            <w:rPr>
              <w:sz w:val="24"/>
              <w:szCs w:val="24"/>
            </w:rPr>
          </w:r>
          <w:r>
            <w:rPr>
              <w:sz w:val="24"/>
              <w:szCs w:val="24"/>
            </w:rPr>
          </w:r>
        </w:sdtContent>
      </w:sdt>
      <w:r>
        <w:rPr>
          <w:sz w:val="24"/>
          <w:szCs w:val="24"/>
        </w:rPr>
        <w:t>20</w:t>
      </w:r>
      <w:r>
        <w:rPr>
          <w:sz w:val="24"/>
          <w:szCs w:val="24"/>
        </w:rPr>
      </w:r>
      <w:commentRangeEnd w:id="1"/>
      <w:r>
        <w:commentReference w:id="1"/>
      </w:r>
      <w:r>
        <w:rPr>
          <w:sz w:val="24"/>
          <w:szCs w:val="24"/>
        </w:rPr>
        <w:t xml:space="preserve"> PF por persona-mes se valida al cierre del Sprint 2, midiendo los PF terminados en relación con el esfuerzo invertido. Si resulta menor, se recalcula el esfuerzo y se prioriza el backlog.</w:t>
      </w:r>
    </w:p>
    <w:p>
      <w:pPr>
        <w:pStyle w:val="normal111"/>
        <w:rPr>
          <w:sz w:val="24"/>
          <w:szCs w:val="24"/>
        </w:rPr>
      </w:pPr>
      <w:r>
        <w:rPr>
          <w:sz w:val="24"/>
          <w:szCs w:val="24"/>
        </w:rPr>
      </w:r>
    </w:p>
    <w:p>
      <w:pPr>
        <w:pStyle w:val="normal111"/>
        <w:rPr>
          <w:b/>
          <w:bCs/>
        </w:rPr>
      </w:pPr>
      <w:r>
        <w:rPr>
          <w:b/>
          <w:bCs/>
        </w:rPr>
        <w:t>Comparación con el peor caso (10 PF por persona-mes):</w:t>
      </w:r>
    </w:p>
    <w:p>
      <w:pPr>
        <w:pStyle w:val="normal111"/>
        <w:rPr>
          <w:sz w:val="24"/>
          <w:szCs w:val="24"/>
        </w:rPr>
      </w:pPr>
      <w:r>
        <w:rPr>
          <w:sz w:val="24"/>
          <w:szCs w:val="24"/>
        </w:rPr>
        <w:t>Para dimensionar el riesgo de la estimación se repite el cálculo con una productividad de 10 PF por persona-mes, que representa un equipo con mucho menos rendimiento que el previsto.</w:t>
      </w:r>
    </w:p>
    <w:p>
      <w:pPr>
        <w:pStyle w:val="normal111"/>
        <w:rPr>
          <w:sz w:val="24"/>
          <w:szCs w:val="24"/>
        </w:rPr>
      </w:pPr>
      <w:r>
        <w:rPr>
          <w:sz w:val="24"/>
          <w:szCs w:val="24"/>
        </w:rPr>
      </w:r>
    </w:p>
    <w:p>
      <w:pPr>
        <w:pStyle w:val="normal111"/>
        <w:jc w:val="center"/>
        <w:rPr/>
      </w:pPr>
      <w:r>
        <w:rPr/>
      </w:r>
      <m:oMathPara xmlns:m="http://schemas.openxmlformats.org/officeDocument/2006/math">
        <m:oMathParaPr>
          <m:jc m:val="center"/>
        </m:oMathParaPr>
        <m:oMath>
          <m:r>
            <m:t xml:space="preserve">Esfuerzo</m:t>
          </m:r>
          <m:r>
            <m:rPr>
              <m:lit/>
              <m:nor/>
            </m:rPr>
            <m:t xml:space="preserve">=</m:t>
          </m:r>
          <m:f>
            <m:num>
              <m:r>
                <m:t xml:space="preserve">407,68</m:t>
              </m:r>
            </m:num>
            <m:den>
              <m:r>
                <m:t xml:space="preserve">10</m:t>
              </m:r>
            </m:den>
          </m:f>
        </m:oMath>
      </m:oMathPara>
    </w:p>
    <w:p>
      <w:pPr>
        <w:pStyle w:val="normal111"/>
        <w:rPr>
          <w:sz w:val="24"/>
          <w:szCs w:val="24"/>
        </w:rPr>
      </w:pPr>
      <w:r>
        <w:rPr>
          <w:sz w:val="24"/>
          <w:szCs w:val="24"/>
        </w:rPr>
      </w:r>
    </w:p>
    <w:p>
      <w:pPr>
        <w:pStyle w:val="normal111"/>
        <w:jc w:val="center"/>
        <w:rPr>
          <w:sz w:val="24"/>
          <w:szCs w:val="24"/>
        </w:rPr>
      </w:pPr>
      <w:r>
        <w:rPr/>
      </w:r>
      <m:oMath xmlns:m="http://schemas.openxmlformats.org/officeDocument/2006/math">
        <m:r>
          <m:t xml:space="preserve">Esfuerzo</m:t>
        </m:r>
      </m:oMath>
      <w:r>
        <w:rPr>
          <w:rFonts w:eastAsia="Arial Unicode MS" w:cs="Arial Unicode MS" w:ascii="Arial Unicode MS" w:hAnsi="Arial Unicode MS"/>
          <w:sz w:val="30"/>
          <w:szCs w:val="30"/>
        </w:rPr>
        <w:t xml:space="preserve"> ≈</w:t>
      </w:r>
      <w:r>
        <w:rPr>
          <w:sz w:val="24"/>
          <w:szCs w:val="24"/>
        </w:rPr>
        <w:t xml:space="preserve"> </w:t>
      </w:r>
      <w:r>
        <w:rPr>
          <w:sz w:val="24"/>
          <w:szCs w:val="24"/>
        </w:rPr>
        <w:t>40,77 personas-mes</w:t>
      </w:r>
    </w:p>
    <w:p>
      <w:pPr>
        <w:pStyle w:val="normal111"/>
        <w:rPr>
          <w:sz w:val="24"/>
          <w:szCs w:val="24"/>
        </w:rPr>
      </w:pPr>
      <w:r>
        <w:rPr>
          <w:sz w:val="24"/>
          <w:szCs w:val="24"/>
        </w:rPr>
      </w:r>
    </w:p>
    <w:p>
      <w:pPr>
        <w:pStyle w:val="normal111"/>
        <w:jc w:val="center"/>
        <w:rPr/>
      </w:pPr>
      <w:r>
        <w:rPr/>
      </w:r>
      <m:oMathPara xmlns:m="http://schemas.openxmlformats.org/officeDocument/2006/math">
        <m:oMathParaPr>
          <m:jc m:val="center"/>
        </m:oMathParaPr>
        <m:oMath>
          <m:r>
            <m:t xml:space="preserve">Duración</m:t>
          </m:r>
          <m:r>
            <m:rPr>
              <m:lit/>
              <m:nor/>
            </m:rPr>
            <m:t xml:space="preserve">=</m:t>
          </m:r>
          <m:f>
            <m:num>
              <m:r>
                <m:t xml:space="preserve">40,77</m:t>
              </m:r>
            </m:num>
            <m:den>
              <m:r>
                <m:t xml:space="preserve">6</m:t>
              </m:r>
            </m:den>
          </m:f>
        </m:oMath>
      </m:oMathPara>
    </w:p>
    <w:p>
      <w:pPr>
        <w:pStyle w:val="normal111"/>
        <w:rPr>
          <w:sz w:val="24"/>
          <w:szCs w:val="24"/>
        </w:rPr>
      </w:pPr>
      <w:r>
        <w:rPr>
          <w:sz w:val="24"/>
          <w:szCs w:val="24"/>
        </w:rPr>
      </w:r>
    </w:p>
    <w:p>
      <w:pPr>
        <w:pStyle w:val="normal111"/>
        <w:jc w:val="center"/>
        <w:rPr>
          <w:sz w:val="24"/>
          <w:szCs w:val="24"/>
        </w:rPr>
      </w:pPr>
      <w:r>
        <w:rPr/>
      </w:r>
      <m:oMath xmlns:m="http://schemas.openxmlformats.org/officeDocument/2006/math">
        <m:r>
          <m:t xml:space="preserve">Duración</m:t>
        </m:r>
      </m:oMath>
      <w:r>
        <w:rPr>
          <w:rFonts w:eastAsia="Arial Unicode MS" w:cs="Arial Unicode MS" w:ascii="Arial Unicode MS" w:hAnsi="Arial Unicode MS"/>
          <w:sz w:val="30"/>
          <w:szCs w:val="30"/>
        </w:rPr>
        <w:t xml:space="preserve"> ≈</w:t>
      </w:r>
      <w:r>
        <w:rPr>
          <w:sz w:val="24"/>
          <w:szCs w:val="24"/>
        </w:rPr>
        <w:t xml:space="preserve"> </w:t>
      </w:r>
      <w:r>
        <w:rPr>
          <w:sz w:val="24"/>
          <w:szCs w:val="24"/>
        </w:rPr>
        <w:t>6,8 meses</w:t>
      </w:r>
    </w:p>
    <w:p>
      <w:pPr>
        <w:pStyle w:val="normal111"/>
        <w:rPr>
          <w:sz w:val="24"/>
          <w:szCs w:val="24"/>
        </w:rPr>
      </w:pPr>
      <w:r>
        <w:rPr>
          <w:sz w:val="24"/>
          <w:szCs w:val="24"/>
        </w:rPr>
      </w:r>
    </w:p>
    <w:tbl>
      <w:tblPr>
        <w:tblStyle w:val="Table9"/>
        <w:tblW w:w="9029" w:type="dxa"/>
        <w:jc w:val="start"/>
        <w:tblInd w:w="0" w:type="dxa"/>
        <w:tblLayout w:type="fixed"/>
        <w:tblCellMar>
          <w:top w:w="0" w:type="dxa"/>
          <w:start w:w="108" w:type="dxa"/>
          <w:bottom w:w="0" w:type="dxa"/>
          <w:end w:w="108" w:type="dxa"/>
        </w:tblCellMar>
        <w:tblLook w:val="0600"/>
      </w:tblPr>
      <w:tblGrid>
        <w:gridCol w:w="1804"/>
        <w:gridCol w:w="2408"/>
        <w:gridCol w:w="2408"/>
        <w:gridCol w:w="2409"/>
      </w:tblGrid>
      <w:tr>
        <w:trPr/>
        <w:tc>
          <w:tcPr>
            <w:tcW w:w="1804"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Escenario</w:t>
            </w:r>
          </w:p>
        </w:tc>
        <w:tc>
          <w:tcPr>
            <w:tcW w:w="240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Productividad</w:t>
            </w:r>
          </w:p>
        </w:tc>
        <w:tc>
          <w:tcPr>
            <w:tcW w:w="240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Esfuerzo</w:t>
            </w:r>
          </w:p>
        </w:tc>
        <w:tc>
          <w:tcPr>
            <w:tcW w:w="2409"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Duración (6 integrantes)</w:t>
            </w:r>
          </w:p>
        </w:tc>
      </w:tr>
      <w:tr>
        <w:trPr/>
        <w:tc>
          <w:tcPr>
            <w:tcW w:w="1804"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Mejor caso</w:t>
            </w:r>
          </w:p>
        </w:tc>
        <w:tc>
          <w:tcPr>
            <w:tcW w:w="240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20 PF por persona-mes</w:t>
            </w:r>
          </w:p>
        </w:tc>
        <w:tc>
          <w:tcPr>
            <w:tcW w:w="240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20,38 personas-mes</w:t>
            </w:r>
          </w:p>
        </w:tc>
        <w:tc>
          <w:tcPr>
            <w:tcW w:w="2409"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3,4 meses</w:t>
            </w:r>
          </w:p>
        </w:tc>
      </w:tr>
      <w:tr>
        <w:trPr/>
        <w:tc>
          <w:tcPr>
            <w:tcW w:w="1804"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Peor caso</w:t>
            </w:r>
          </w:p>
        </w:tc>
        <w:tc>
          <w:tcPr>
            <w:tcW w:w="240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10 PF por persona-mes</w:t>
            </w:r>
          </w:p>
        </w:tc>
        <w:tc>
          <w:tcPr>
            <w:tcW w:w="240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40,77 personas-mes</w:t>
            </w:r>
          </w:p>
        </w:tc>
        <w:tc>
          <w:tcPr>
            <w:tcW w:w="2409"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6,8 meses</w:t>
            </w:r>
          </w:p>
        </w:tc>
      </w:tr>
    </w:tbl>
    <w:p>
      <w:pPr>
        <w:pStyle w:val="normal111"/>
        <w:rPr>
          <w:sz w:val="24"/>
          <w:szCs w:val="24"/>
        </w:rPr>
      </w:pPr>
      <w:r>
        <w:rPr>
          <w:sz w:val="24"/>
          <w:szCs w:val="24"/>
        </w:rPr>
      </w:r>
    </w:p>
    <w:p>
      <w:pPr>
        <w:pStyle w:val="normal111"/>
        <w:rPr>
          <w:sz w:val="24"/>
          <w:szCs w:val="24"/>
        </w:rPr>
      </w:pPr>
      <w:r>
        <w:rPr>
          <w:sz w:val="24"/>
          <w:szCs w:val="24"/>
        </w:rPr>
        <w:t>Al reducirse la productividad a la mitad, el esfuerzo y la duración se duplican. En el peor caso el proyecto necesitaría unos 6,8 meses con los 6 integrantes, más del doble del plazo de 3 meses fijado por la cátedra; para terminar en 3 meses harían falta unos 14 integrantes (40,77 / 3 ≈ 13,6). Por eso es importante validar la productividad real al cierre del Sprint 2.</w:t>
      </w:r>
    </w:p>
    <w:p>
      <w:pPr>
        <w:pStyle w:val="normal111"/>
        <w:rPr>
          <w:sz w:val="24"/>
          <w:szCs w:val="24"/>
        </w:rPr>
      </w:pPr>
      <w:r>
        <w:rPr>
          <w:sz w:val="24"/>
          <w:szCs w:val="24"/>
        </w:rPr>
      </w:r>
    </w:p>
    <w:p>
      <w:pPr>
        <w:pStyle w:val="normal111"/>
        <w:rPr>
          <w:sz w:val="24"/>
          <w:szCs w:val="24"/>
        </w:rPr>
      </w:pPr>
      <w:r>
        <w:rPr>
          <w:sz w:val="24"/>
          <w:szCs w:val="24"/>
        </w:rPr>
      </w:r>
    </w:p>
    <w:p>
      <w:pPr>
        <w:pStyle w:val="Subtitle"/>
        <w:rPr>
          <w:b/>
          <w:bCs/>
          <w:color w:val="000000"/>
        </w:rPr>
      </w:pPr>
      <w:bookmarkStart w:id="10" w:name="_heading=h.yxke45wkmfw3"/>
      <w:bookmarkEnd w:id="10"/>
      <w:r>
        <w:rPr>
          <w:b/>
          <w:bCs/>
          <w:color w:val="000000"/>
        </w:rPr>
        <w:t>Estimación del costo:</w:t>
      </w:r>
    </w:p>
    <w:p>
      <w:pPr>
        <w:pStyle w:val="normal111"/>
        <w:rPr>
          <w:sz w:val="24"/>
          <w:szCs w:val="24"/>
        </w:rPr>
      </w:pPr>
      <w:r>
        <w:rPr/>
        <w:t>Fórmula:</w:t>
      </w:r>
    </w:p>
    <w:p>
      <w:pPr>
        <w:pStyle w:val="normal111"/>
        <w:rPr>
          <w:sz w:val="24"/>
          <w:szCs w:val="24"/>
        </w:rPr>
      </w:pPr>
      <w:r>
        <w:rPr>
          <w:sz w:val="24"/>
          <w:szCs w:val="24"/>
        </w:rPr>
      </w:r>
    </w:p>
    <w:p>
      <w:pPr>
        <w:pStyle w:val="normal111"/>
        <w:jc w:val="center"/>
        <w:rPr/>
      </w:pPr>
      <w:r>
        <w:rPr/>
      </w:r>
      <m:oMathPara xmlns:m="http://schemas.openxmlformats.org/officeDocument/2006/math">
        <m:oMathParaPr>
          <m:jc m:val="center"/>
        </m:oMathParaPr>
        <m:oMath>
          <m:r>
            <m:t xml:space="preserve">Costo</m:t>
          </m:r>
          <m:r>
            <m:rPr>
              <m:lit/>
              <m:nor/>
            </m:rPr>
            <m:t xml:space="preserve">=</m:t>
          </m:r>
          <m:r>
            <m:t xml:space="preserve">Esfuerzo</m:t>
          </m:r>
          <m:r>
            <m:t xml:space="preserve">×</m:t>
          </m:r>
          <m:r>
            <m:t xml:space="preserve">CostoMensual</m:t>
          </m:r>
        </m:oMath>
      </m:oMathPara>
    </w:p>
    <w:p>
      <w:pPr>
        <w:pStyle w:val="normal111"/>
        <w:jc w:val="center"/>
        <w:rPr>
          <w:sz w:val="24"/>
          <w:szCs w:val="24"/>
        </w:rPr>
      </w:pPr>
      <w:r>
        <w:rPr>
          <w:sz w:val="24"/>
          <w:szCs w:val="24"/>
        </w:rPr>
      </w:r>
    </w:p>
    <w:p>
      <w:pPr>
        <w:pStyle w:val="normal111"/>
        <w:rPr>
          <w:sz w:val="24"/>
          <w:szCs w:val="24"/>
        </w:rPr>
      </w:pPr>
      <w:r>
        <w:rPr>
          <w:sz w:val="24"/>
          <w:szCs w:val="24"/>
        </w:rPr>
        <w:t xml:space="preserve">Se utiliza como costo mensual la remuneración recomendada por el Consejo Profesional de Ciencias Informáticas de la Provincia de Córdoba (CPCI) para un Analista Junior, actualizada a septiembre de 2026: $2.235.187,83 por persona-mes. Se elige este perfil porque el equipo está formado por analistas programadores junior que trabajan a tiempo completo (8 horas diarias, de lunes a viernes). Como referencia de mercado, la mediana del sueldo de un programador junior en la Encuesta de Sueldos 2026.1 de Sysarmy es de $1.538.500 brutos (Teclab). El costo considera solamente la remuneración del equipo de desarrollo; más abajo se detalla lo que no incluye. Para expresarlo en dólares se usa la cotización del dólar oficial del Banco Nación del 23/10/2026: $1.550 por dólar (venta). </w:t>
      </w:r>
      <w:commentRangeStart w:id="2"/>
      <w:sdt>
        <w:sdtPr>
          <w:tag w:val="goog_rdk_4"/>
          <w:id w:val="702637335"/>
        </w:sdtPr>
        <w:sdtContent>
          <w:r>
            <w:rPr>
              <w:sz w:val="24"/>
              <w:szCs w:val="24"/>
            </w:rPr>
          </w:r>
          <w:r>
            <w:rPr>
              <w:sz w:val="24"/>
              <w:szCs w:val="24"/>
            </w:rPr>
          </w:r>
        </w:sdtContent>
      </w:sdt>
      <w:commentRangeStart w:id="3"/>
      <w:sdt>
        <w:sdtPr>
          <w:tag w:val="goog_rdk_5"/>
          <w:id w:val="177714099"/>
        </w:sdtPr>
        <w:sdtContent>
          <w:r>
            <w:rPr>
              <w:sz w:val="24"/>
              <w:szCs w:val="24"/>
            </w:rPr>
          </w:r>
          <w:r>
            <w:rPr>
              <w:sz w:val="24"/>
              <w:szCs w:val="24"/>
            </w:rPr>
          </w:r>
        </w:sdtContent>
      </w:sdt>
    </w:p>
    <w:p>
      <w:pPr>
        <w:pStyle w:val="normal111"/>
        <w:jc w:val="center"/>
        <w:rPr>
          <w:sz w:val="24"/>
          <w:szCs w:val="24"/>
        </w:rPr>
      </w:pPr>
      <w:r>
        <w:rPr/>
      </w:r>
      <w:commentRangeEnd w:id="2"/>
      <w:r>
        <w:commentReference w:id="2"/>
      </w:r>
      <w:commentRangeEnd w:id="3"/>
      <w:r>
        <w:commentReference w:id="3"/>
      </w:r>
      <w:r>
        <w:rPr/>
      </w:r>
    </w:p>
    <w:p>
      <w:pPr>
        <w:pStyle w:val="normal111"/>
        <w:jc w:val="center"/>
        <w:rPr>
          <w:sz w:val="24"/>
          <w:szCs w:val="24"/>
        </w:rPr>
      </w:pPr>
      <w:r>
        <w:rPr/>
        <w:t>Costo = 20,38 × $2.235.187,83</w:t>
      </w:r>
    </w:p>
    <w:p>
      <w:pPr>
        <w:pStyle w:val="normal111"/>
        <w:rPr>
          <w:sz w:val="24"/>
          <w:szCs w:val="24"/>
        </w:rPr>
      </w:pPr>
      <w:r>
        <w:rPr>
          <w:sz w:val="24"/>
          <w:szCs w:val="24"/>
        </w:rPr>
      </w:r>
    </w:p>
    <w:p>
      <w:pPr>
        <w:pStyle w:val="normal111"/>
        <w:jc w:val="center"/>
        <w:rPr>
          <w:sz w:val="24"/>
          <w:szCs w:val="24"/>
        </w:rPr>
      </w:pPr>
      <w:commentRangeStart w:id="4"/>
      <w:sdt>
        <w:sdtPr>
          <w:tag w:val="goog_rdk_6"/>
          <w:id w:val="-271012682"/>
        </w:sdtPr>
        <w:sdtContent>
          <w:r>
            <w:rPr/>
          </w:r>
          <w:r>
            <w:rPr/>
          </w:r>
        </w:sdtContent>
      </w:sdt>
      <w:r>
        <w:rPr/>
        <w:t>Costo</w:t>
      </w:r>
      <w:r>
        <w:rPr/>
      </w:r>
      <w:commentRangeEnd w:id="4"/>
      <w:r>
        <w:commentReference w:id="4"/>
      </w:r>
      <w:sdt>
        <w:sdtPr>
          <w:tag w:val="goog_rdk_7"/>
          <w:id w:val="-1375598432"/>
        </w:sdtPr>
        <w:sdtContent>
          <w:r>
            <w:rPr/>
          </w:r>
          <w:r>
            <w:rPr>
              <w:rFonts w:eastAsia="Arial Unicode MS" w:cs="Arial Unicode MS" w:ascii="Arial Unicode MS" w:hAnsi="Arial Unicode MS"/>
            </w:rPr>
            <w:t xml:space="preserve"> ≈ $45.553.128 (≈ USD 29.389)</w:t>
          </w:r>
        </w:sdtContent>
      </w:sdt>
    </w:p>
    <w:p>
      <w:pPr>
        <w:pStyle w:val="normal111"/>
        <w:rPr>
          <w:sz w:val="24"/>
          <w:szCs w:val="24"/>
        </w:rPr>
      </w:pPr>
      <w:r>
        <w:rPr>
          <w:sz w:val="24"/>
          <w:szCs w:val="24"/>
        </w:rPr>
      </w:r>
    </w:p>
    <w:p>
      <w:pPr>
        <w:pStyle w:val="normal111"/>
        <w:rPr>
          <w:b/>
          <w:bCs/>
        </w:rPr>
      </w:pPr>
      <w:r>
        <w:rPr>
          <w:b/>
          <w:bCs/>
        </w:rPr>
        <w:t>Costo en el peor caso (10 PF por persona-mes):</w:t>
      </w:r>
    </w:p>
    <w:p>
      <w:pPr>
        <w:pStyle w:val="normal111"/>
        <w:rPr>
          <w:sz w:val="24"/>
          <w:szCs w:val="24"/>
        </w:rPr>
      </w:pPr>
      <w:r>
        <w:rPr>
          <w:sz w:val="24"/>
          <w:szCs w:val="24"/>
        </w:rPr>
      </w:r>
    </w:p>
    <w:p>
      <w:pPr>
        <w:pStyle w:val="normal111"/>
        <w:jc w:val="center"/>
        <w:rPr>
          <w:sz w:val="24"/>
          <w:szCs w:val="24"/>
        </w:rPr>
      </w:pPr>
      <w:r>
        <w:rPr>
          <w:rFonts w:eastAsia="Arial Unicode MS" w:cs="Arial Unicode MS" w:ascii="Arial Unicode MS" w:hAnsi="Arial Unicode MS"/>
        </w:rPr>
        <w:t>Costo = 40,77 × $2.235.187,83</w:t>
      </w:r>
    </w:p>
    <w:p>
      <w:pPr>
        <w:pStyle w:val="normal111"/>
        <w:rPr>
          <w:sz w:val="24"/>
          <w:szCs w:val="24"/>
        </w:rPr>
      </w:pPr>
      <w:r>
        <w:rPr>
          <w:sz w:val="24"/>
          <w:szCs w:val="24"/>
        </w:rPr>
      </w:r>
    </w:p>
    <w:p>
      <w:pPr>
        <w:pStyle w:val="normal111"/>
        <w:jc w:val="center"/>
        <w:rPr>
          <w:sz w:val="24"/>
          <w:szCs w:val="24"/>
        </w:rPr>
      </w:pPr>
      <w:r>
        <w:rPr>
          <w:rFonts w:eastAsia="Arial Unicode MS" w:cs="Arial Unicode MS" w:ascii="Arial Unicode MS" w:hAnsi="Arial Unicode MS"/>
        </w:rPr>
        <w:t>Costo ≈ $91.128.608 (≈ USD 58.793)</w:t>
      </w:r>
    </w:p>
    <w:p>
      <w:pPr>
        <w:pStyle w:val="normal111"/>
        <w:rPr>
          <w:sz w:val="24"/>
          <w:szCs w:val="24"/>
        </w:rPr>
      </w:pPr>
      <w:r>
        <w:rPr>
          <w:sz w:val="24"/>
          <w:szCs w:val="24"/>
        </w:rPr>
      </w:r>
    </w:p>
    <w:tbl>
      <w:tblPr>
        <w:tblStyle w:val="Table9"/>
        <w:tblW w:w="9029" w:type="dxa"/>
        <w:jc w:val="start"/>
        <w:tblInd w:w="0" w:type="dxa"/>
        <w:tblLayout w:type="fixed"/>
        <w:tblCellMar>
          <w:top w:w="0" w:type="dxa"/>
          <w:start w:w="108" w:type="dxa"/>
          <w:bottom w:w="0" w:type="dxa"/>
          <w:end w:w="108" w:type="dxa"/>
        </w:tblCellMar>
        <w:tblLook w:val="0600"/>
      </w:tblPr>
      <w:tblGrid>
        <w:gridCol w:w="2257"/>
        <w:gridCol w:w="2257"/>
        <w:gridCol w:w="2257"/>
        <w:gridCol w:w="2258"/>
      </w:tblGrid>
      <w:tr>
        <w:trPr/>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Escenario</w:t>
            </w:r>
          </w:p>
        </w:tc>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Esfuerzo</w:t>
            </w:r>
          </w:p>
        </w:tc>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Costo (ARS)</w:t>
            </w:r>
          </w:p>
        </w:tc>
        <w:tc>
          <w:tcPr>
            <w:tcW w:w="225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Costo (USD)</w:t>
            </w:r>
          </w:p>
        </w:tc>
      </w:tr>
      <w:tr>
        <w:trPr/>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Mejor caso (20 PF)</w:t>
            </w:r>
          </w:p>
        </w:tc>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20,38 personas-mes</w:t>
            </w:r>
          </w:p>
        </w:tc>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$45.553.128</w:t>
            </w:r>
          </w:p>
        </w:tc>
        <w:tc>
          <w:tcPr>
            <w:tcW w:w="225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USD 29.389</w:t>
            </w:r>
          </w:p>
        </w:tc>
      </w:tr>
      <w:tr>
        <w:trPr/>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Peor caso (10 PF)</w:t>
            </w:r>
          </w:p>
        </w:tc>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40,77 personas-mes</w:t>
            </w:r>
          </w:p>
        </w:tc>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$91.128.608</w:t>
            </w:r>
          </w:p>
        </w:tc>
        <w:tc>
          <w:tcPr>
            <w:tcW w:w="225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USD 58.793</w:t>
            </w:r>
          </w:p>
        </w:tc>
      </w:tr>
      <w:tr>
        <w:trPr/>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b/>
                <w:bCs/>
              </w:rPr>
            </w:pPr>
            <w:r>
              <w:rPr>
                <w:b/>
                <w:bCs/>
              </w:rPr>
              <w:t>Diferencia</w:t>
            </w:r>
          </w:p>
        </w:tc>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20,39 personas-mes</w:t>
            </w:r>
          </w:p>
        </w:tc>
        <w:tc>
          <w:tcPr>
            <w:tcW w:w="2257"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$45.575.480</w:t>
            </w:r>
          </w:p>
        </w:tc>
        <w:tc>
          <w:tcPr>
            <w:tcW w:w="2258" w:type="dxa"/>
            <w:tcBorders>
              <w:top w:val="single" w:sz="8" w:space="0" w:color="000000"/>
              <w:bottom w:val="single" w:sz="8" w:space="0" w:color="000000"/>
            </w:tcBorders>
            <w:shd w:fill="auto" w:val="clear"/>
          </w:tcPr>
          <w:p>
            <w:pPr>
              <w:pStyle w:val="normal111"/>
              <w:keepNext w:val="false"/>
              <w:keepLines w:val="false"/>
              <w:widowControl w:val="false"/>
              <w:shd w:val="clear" w:fill="auto"/>
              <w:spacing w:lineRule="auto" w:line="240" w:before="0" w:after="0"/>
              <w:ind w:hanging="0" w:start="0" w:end="0"/>
              <w:rPr/>
            </w:pPr>
            <w:r>
              <w:rPr/>
              <w:t>USD 29.404</w:t>
            </w:r>
          </w:p>
        </w:tc>
      </w:tr>
    </w:tbl>
    <w:p>
      <w:pPr>
        <w:pStyle w:val="normal111"/>
        <w:rPr>
          <w:sz w:val="24"/>
          <w:szCs w:val="24"/>
        </w:rPr>
      </w:pPr>
      <w:r>
        <w:rPr>
          <w:sz w:val="24"/>
          <w:szCs w:val="24"/>
        </w:rPr>
      </w:r>
    </w:p>
    <w:p>
      <w:pPr>
        <w:pStyle w:val="normal111"/>
        <w:rPr>
          <w:sz w:val="24"/>
          <w:szCs w:val="24"/>
        </w:rPr>
      </w:pPr>
      <w:r>
        <w:rPr>
          <w:sz w:val="24"/>
          <w:szCs w:val="24"/>
        </w:rPr>
        <w:t>Como el costo es proporcional al esfuerzo, en el peor caso el costo se duplica: la diferencia es de unos $45.575.480 (≈ USD 29.404), un 100 % más que en el mejor caso.</w:t>
      </w:r>
    </w:p>
    <w:p>
      <w:pPr>
        <w:pStyle w:val="normal111"/>
        <w:rPr>
          <w:sz w:val="24"/>
          <w:szCs w:val="24"/>
        </w:rPr>
      </w:pPr>
      <w:r>
        <w:rPr>
          <w:sz w:val="24"/>
          <w:szCs w:val="24"/>
        </w:rPr>
      </w:r>
    </w:p>
    <w:p>
      <w:pPr>
        <w:pStyle w:val="normal111"/>
        <w:rPr>
          <w:b/>
          <w:bCs/>
        </w:rPr>
      </w:pPr>
      <w:r>
        <w:rPr>
          <w:b/>
          <w:bCs/>
        </w:rPr>
        <w:t>Qué no incluye el costo estimado:</w:t>
      </w:r>
    </w:p>
    <w:p>
      <w:pPr>
        <w:pStyle w:val="normal111"/>
        <w:rPr>
          <w:sz w:val="24"/>
          <w:szCs w:val="24"/>
        </w:rPr>
      </w:pPr>
      <w:r>
        <w:rPr>
          <w:sz w:val="24"/>
          <w:szCs w:val="24"/>
        </w:rPr>
        <w:t>El costo obtenido, tanto en el mejor como en el peor caso, solo tiene en cuenta la remuneración de los desarrolladores. No incluye:</w:t>
      </w:r>
    </w:p>
    <w:p>
      <w:pPr>
        <w:pStyle w:val="normal111"/>
        <w:numPr>
          <w:ilvl w:val="0"/>
          <w:numId w:val="1"/>
        </w:numPr>
        <w:rPr>
          <w:sz w:val="24"/>
          <w:szCs w:val="24"/>
        </w:rPr>
      </w:pPr>
      <w:r>
        <w:rPr>
          <w:sz w:val="24"/>
          <w:szCs w:val="24"/>
        </w:rPr>
        <w:t>Cargas sociales y aportes a la seguridad social.</w:t>
      </w:r>
    </w:p>
    <w:p>
      <w:pPr>
        <w:pStyle w:val="normal111"/>
        <w:numPr>
          <w:ilvl w:val="0"/>
          <w:numId w:val="1"/>
        </w:numPr>
        <w:rPr>
          <w:sz w:val="24"/>
          <w:szCs w:val="24"/>
        </w:rPr>
      </w:pPr>
      <w:r>
        <w:rPr>
          <w:sz w:val="24"/>
          <w:szCs w:val="24"/>
        </w:rPr>
        <w:t>Overhead de la empresa (alquiler, servicios, administración y gestión).</w:t>
      </w:r>
    </w:p>
    <w:p>
      <w:pPr>
        <w:pStyle w:val="normal111"/>
        <w:numPr>
          <w:ilvl w:val="0"/>
          <w:numId w:val="1"/>
        </w:numPr>
        <w:rPr>
          <w:sz w:val="24"/>
          <w:szCs w:val="24"/>
        </w:rPr>
      </w:pPr>
      <w:r>
        <w:rPr>
          <w:sz w:val="24"/>
          <w:szCs w:val="24"/>
        </w:rPr>
        <w:t>Infraestructura (servidores, hosting y equipos de trabajo).</w:t>
      </w:r>
    </w:p>
    <w:p>
      <w:pPr>
        <w:pStyle w:val="normal111"/>
        <w:numPr>
          <w:ilvl w:val="0"/>
          <w:numId w:val="1"/>
        </w:numPr>
        <w:rPr>
          <w:sz w:val="24"/>
          <w:szCs w:val="24"/>
        </w:rPr>
      </w:pPr>
      <w:r>
        <w:rPr>
          <w:sz w:val="24"/>
          <w:szCs w:val="24"/>
        </w:rPr>
        <w:t>Herramientas y licencias de software.</w:t>
      </w:r>
    </w:p>
    <w:p>
      <w:pPr>
        <w:pStyle w:val="normal111"/>
        <w:numPr>
          <w:ilvl w:val="0"/>
          <w:numId w:val="1"/>
        </w:numPr>
        <w:rPr>
          <w:sz w:val="24"/>
          <w:szCs w:val="24"/>
        </w:rPr>
      </w:pPr>
      <w:r>
        <w:rPr>
          <w:sz w:val="24"/>
          <w:szCs w:val="24"/>
        </w:rPr>
        <w:t>QA externo.</w:t>
      </w:r>
    </w:p>
    <w:p>
      <w:pPr>
        <w:pStyle w:val="normal111"/>
        <w:numPr>
          <w:ilvl w:val="0"/>
          <w:numId w:val="1"/>
        </w:numPr>
        <w:rPr>
          <w:sz w:val="24"/>
          <w:szCs w:val="24"/>
        </w:rPr>
      </w:pPr>
      <w:r>
        <w:rPr>
          <w:sz w:val="24"/>
          <w:szCs w:val="24"/>
        </w:rPr>
        <w:t>Despliegue del sistema.</w:t>
      </w:r>
    </w:p>
    <w:p>
      <w:pPr>
        <w:pStyle w:val="normal111"/>
        <w:numPr>
          <w:ilvl w:val="0"/>
          <w:numId w:val="1"/>
        </w:numPr>
        <w:rPr>
          <w:sz w:val="24"/>
          <w:szCs w:val="24"/>
        </w:rPr>
      </w:pPr>
      <w:r>
        <w:rPr>
          <w:sz w:val="24"/>
          <w:szCs w:val="24"/>
        </w:rPr>
        <w:t>Mantenimiento posterior a la entrega.</w:t>
      </w:r>
    </w:p>
    <w:p>
      <w:pPr>
        <w:pStyle w:val="normal111"/>
        <w:rPr>
          <w:sz w:val="24"/>
          <w:szCs w:val="24"/>
        </w:rPr>
      </w:pPr>
      <w:r>
        <w:rPr>
          <w:sz w:val="24"/>
          <w:szCs w:val="24"/>
        </w:rPr>
        <w:t>Por lo tanto, el valor calculado debe leerse como un piso: el costo total real del proyecto sería mayor si se sumaran estos conceptos.</w:t>
      </w:r>
    </w:p>
    <w:p>
      <w:pPr>
        <w:pStyle w:val="normal111"/>
        <w:rPr>
          <w:sz w:val="24"/>
          <w:szCs w:val="24"/>
        </w:rPr>
      </w:pPr>
      <w:r>
        <w:rPr>
          <w:sz w:val="24"/>
          <w:szCs w:val="24"/>
        </w:rPr>
      </w:r>
    </w:p>
    <w:p>
      <w:pPr>
        <w:pStyle w:val="normal111"/>
        <w:rPr>
          <w:b/>
          <w:bCs/>
        </w:rPr>
      </w:pPr>
      <w:r>
        <w:rPr>
          <w:b/>
          <w:bCs/>
        </w:rPr>
        <w:t>Consideración final: el impacto de la inteligencia artificial</w:t>
      </w:r>
    </w:p>
    <w:p>
      <w:pPr>
        <w:pStyle w:val="normal111"/>
        <w:rPr>
          <w:sz w:val="24"/>
          <w:szCs w:val="24"/>
        </w:rPr>
      </w:pPr>
      <w:r>
        <w:rPr>
          <w:sz w:val="24"/>
          <w:szCs w:val="24"/>
        </w:rPr>
        <w:t>Las estimaciones de esfuerzo, duración y costo de este documento se obtuvieron con el método tradicional de Puntos de Función, cuyos valores de productividad provienen de proyectos desarrollados sin inteligencia artificial. Con la llegada de los agentes de IA, que generan código y pruebas a partir de una especificación, estos cálculos quedan obsoletos.</w:t>
      </w:r>
    </w:p>
    <w:p>
      <w:pPr>
        <w:pStyle w:val="normal111"/>
        <w:rPr>
          <w:sz w:val="24"/>
          <w:szCs w:val="24"/>
        </w:rPr>
      </w:pPr>
      <w:r>
        <w:rPr>
          <w:sz w:val="24"/>
          <w:szCs w:val="24"/>
        </w:rPr>
      </w:r>
    </w:p>
    <w:p>
      <w:pPr>
        <w:pStyle w:val="normal111"/>
        <w:rPr>
          <w:sz w:val="24"/>
          <w:szCs w:val="24"/>
        </w:rPr>
      </w:pPr>
      <w:r>
        <w:rPr>
          <w:sz w:val="24"/>
          <w:szCs w:val="24"/>
        </w:rPr>
        <w:t xml:space="preserve">Todavía no existe un método reconocido para medir el esfuerzo y el costo de un proyecto desarrollado con IA, aunque es claro que la IA está revolucionando los métodos que se venían utilizando. En el caso de este proyecto, </w:t>
      </w:r>
      <w:r>
        <w:rPr>
          <w:sz w:val="24"/>
          <w:szCs w:val="24"/>
        </w:rPr>
        <w:t>utilizando IA</w:t>
      </w:r>
      <w:r>
        <w:rPr>
          <w:sz w:val="24"/>
          <w:szCs w:val="24"/>
        </w:rPr>
        <w:t>, no se necesita el plazo calculado ni la cantidad de personas estimada, y el costo obtenido tampoco resulta realista.</w:t>
      </w:r>
    </w:p>
    <w:p>
      <w:pPr>
        <w:pStyle w:val="normal111"/>
        <w:jc w:val="center"/>
        <w:rPr>
          <w:sz w:val="24"/>
          <w:szCs w:val="24"/>
        </w:rPr>
      </w:pPr>
      <w:r>
        <w:rPr>
          <w:sz w:val="24"/>
          <w:szCs w:val="24"/>
        </w:rPr>
      </w:r>
    </w:p>
    <w:p>
      <w:pPr>
        <w:pStyle w:val="normal111"/>
        <w:rPr>
          <w:sz w:val="24"/>
          <w:szCs w:val="24"/>
        </w:rPr>
      </w:pPr>
      <w:r>
        <w:rPr>
          <w:sz w:val="24"/>
          <w:szCs w:val="24"/>
        </w:rPr>
      </w:r>
    </w:p>
    <w:sectPr>
      <w:headerReference w:type="even" r:id="rId2"/>
      <w:headerReference w:type="default" r:id="rId3"/>
      <w:headerReference w:type="first" r:id="rId4"/>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Guillermo Urrutia" w:date="2026-10-30T19:06:47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https://www.fing.edu.uy/tecnoinf/mvd/cursos/ingsoft/material/teorico/is05-PuntosFuncionComp.pdf</w:t>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Para contrastar con los valores obtenidos en la estimación de PF</w:t>
      </w:r>
    </w:p>
  </w:comment>
  <w:comment w:id="1" w:author="Guillermo Urrutia" w:date="2026-10-30T15:22:14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Pueden agregar 10PF para comparativa del peor caso. Ver cuánta diferencia hay en el costo obtenido.</w:t>
      </w:r>
    </w:p>
  </w:comment>
  <w:comment w:id="2" w:author="Guillermo Urrutia" w:date="2026-10-23T18:51:39Z" w:initials="">
    <w:p w14:paraId="01000000">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https://cpcipc.org.ar/honorarios-recomendados/</w:t>
      </w:r>
    </w:p>
  </w:comment>
  <w:comment w:id="3" w:author="Guillermo Urrutia" w:date="2026-10-23T18:54:00Z" w:initials="">
    <w:p w14:paraId="02000000">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https://teclab.edu.ar/tecnologia-y-desarrollo/cuanto-cobra-un-programador-en-argentina/</w:t>
      </w:r>
    </w:p>
  </w:comment>
  <w:comment w:id="4" w:author="Guillermo Urrutia" w:date="2026-10-30T15:05:35Z" w:initials="">
    <w:p>
      <w:pPr>
        <w:overflowPunct w:val="false"/>
        <w:spacing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Revisen el siguiente artículo: https://www.isbsg.org/wp-content/uploads/2023/03/Short-Paper-2023-02-Analysis-Project-Cost-per-FP.pdf</w:t>
      </w:r>
    </w:p>
    <w:p>
      <w:pPr>
        <w:overflowPunct w:val="false"/>
        <w:spacing w:lineRule="auto" w:line="240"/>
        <w:rPr/>
      </w:pPr>
      <w:r>
        <w:rPr/>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Pueden buscar otros.</w:t>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En el costo total solamente están teniendo en cuenta la remuneración del desarrollador.</w:t>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No incluye: cargas sociales, seguridad social, overhead de la empresa, infraestructura, herramientas, QA externo, despliegue, ni mantenimiento posterior. Para nombrar algunas cuestiones que se escapan en el cálculo total.</w:t>
      </w:r>
    </w:p>
    <w:p>
      <w:pPr>
        <w:overflowPunct w:val="false"/>
        <w:spacing w:lineRule="auto" w:line="240"/>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Pueden tratar de agregar estas consideraciones diciendo que el costo obtenido no tiene en cuenta tal y tal otra cosa.</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roman"/>
    <w:pitch w:val="variable"/>
  </w:font>
  <w:font w:name="Arial Unicode MS">
    <w:charset w:val="01" w:characterSet="utf-8"/>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widowControl/>
      <w:pBdr/>
      <w:shd w:val="clear" w:fill="auto"/>
      <w:spacing w:lineRule="auto" w:line="240" w:before="400" w:after="12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40"/>
      <w:szCs w:val="40"/>
      <w:u w:val="none"/>
      <w:shd w:fill="auto" w:val="clear"/>
      <w:vertAlign w:val="baseline"/>
    </w:rPr>
  </w:style>
  <w:style w:type="paragraph" w:styleId="Heading2">
    <w:name w:val="heading 2"/>
    <w:basedOn w:val="normal1"/>
    <w:next w:val="normal1"/>
    <w:qFormat/>
    <w:pPr>
      <w:keepNext w:val="true"/>
      <w:keepLines/>
      <w:pageBreakBefore w:val="false"/>
      <w:widowControl/>
      <w:pBdr/>
      <w:shd w:val="clear" w:fill="auto"/>
      <w:spacing w:lineRule="auto" w:line="240" w:before="360" w:after="12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pBdr/>
      <w:shd w:val="clear" w:fill="auto"/>
      <w:spacing w:lineRule="auto" w:line="240" w:before="320" w:after="80"/>
      <w:ind w:hanging="0" w:start="0" w:end="0"/>
      <w:jc w:val="start"/>
    </w:pPr>
    <w:rPr>
      <w:rFonts w:ascii="Arial" w:hAnsi="Arial" w:eastAsia="Arial" w:cs="Arial"/>
      <w:b w:val="false"/>
      <w:bCs w:val="false"/>
      <w:i w:val="false"/>
      <w:iCs w:val="false"/>
      <w:caps w:val="false"/>
      <w:smallCaps w:val="false"/>
      <w:strike w:val="false"/>
      <w:dstrike w:val="false"/>
      <w:color w:val="434343"/>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pBdr/>
      <w:shd w:val="clear" w:fill="auto"/>
      <w:spacing w:lineRule="auto" w:line="240" w:before="280" w:after="80"/>
      <w:ind w:hanging="0" w:start="0" w:end="0"/>
      <w:jc w:val="start"/>
    </w:pPr>
    <w:rPr>
      <w:rFonts w:ascii="Arial" w:hAnsi="Arial" w:eastAsia="Arial" w:cs="Arial"/>
      <w:b w:val="false"/>
      <w:bCs w:val="false"/>
      <w:i w:val="false"/>
      <w:iCs w:val="false"/>
      <w:caps w:val="false"/>
      <w:smallCaps w:val="false"/>
      <w:strike w:val="false"/>
      <w:dstrike w:val="false"/>
      <w:color w:val="666666"/>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pBdr/>
      <w:shd w:val="clear" w:fill="auto"/>
      <w:spacing w:lineRule="auto" w:line="240" w:before="240" w:after="80"/>
      <w:ind w:hanging="0" w:start="0" w:end="0"/>
      <w:jc w:val="start"/>
    </w:pPr>
    <w:rPr>
      <w:rFonts w:ascii="Arial" w:hAnsi="Arial" w:eastAsia="Arial" w:cs="Arial"/>
      <w:b w:val="false"/>
      <w:bCs w:val="false"/>
      <w:i w:val="false"/>
      <w:iCs w:val="false"/>
      <w:caps w:val="false"/>
      <w:smallCaps w:val="false"/>
      <w:strike w:val="false"/>
      <w:dstrike w:val="false"/>
      <w:color w:val="666666"/>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pBdr/>
      <w:shd w:val="clear" w:fill="auto"/>
      <w:spacing w:lineRule="auto" w:line="240" w:before="240" w:after="80"/>
      <w:ind w:hanging="0" w:start="0" w:end="0"/>
      <w:jc w:val="start"/>
    </w:pPr>
    <w:rPr>
      <w:rFonts w:ascii="Arial" w:hAnsi="Arial" w:eastAsia="Arial" w:cs="Arial"/>
      <w:b w:val="false"/>
      <w:bCs w:val="false"/>
      <w:i/>
      <w:iCs/>
      <w:caps w:val="false"/>
      <w:smallCaps w:val="false"/>
      <w:strike w:val="false"/>
      <w:dstrike w:val="false"/>
      <w:color w:val="666666"/>
      <w:position w:val="0"/>
      <w:sz w:val="22"/>
      <w:szCs w:val="22"/>
      <w:u w:val="none"/>
      <w:shd w:fill="auto" w:val="clear"/>
      <w:vertAlign w:val="baseline"/>
    </w:rPr>
  </w:style>
  <w:style w:type="paragraph" w:styleId="Ttulo">
    <w:name w:val="Título"/>
    <w:basedOn w:val="normal1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1"/>
    <w:pPr>
      <w:spacing w:lineRule="auto" w:line="276" w:before="0" w:after="140"/>
    </w:pPr>
    <w:rPr/>
  </w:style>
  <w:style w:type="paragraph" w:styleId="List">
    <w:name w:val="List"/>
    <w:basedOn w:val="BodyText"/>
    <w:pPr/>
    <w:rPr>
      <w:rFonts w:cs="Noto Sans Devanagari"/>
    </w:rPr>
  </w:style>
  <w:style w:type="paragraph" w:styleId="Caption">
    <w:name w:val="caption"/>
    <w:basedOn w:val="normal11"/>
    <w:qFormat/>
    <w:pPr>
      <w:suppressLineNumbers/>
      <w:spacing w:before="120" w:after="120"/>
    </w:pPr>
    <w:rPr>
      <w:rFonts w:cs="Noto Sans Devanagari"/>
      <w:i/>
      <w:iCs/>
      <w:sz w:val="24"/>
      <w:szCs w:val="24"/>
    </w:rPr>
  </w:style>
  <w:style w:type="paragraph" w:styleId="ndice">
    <w:name w:val="Índice"/>
    <w:basedOn w:val="normal11"/>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0" w:after="6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2"/>
      <w:szCs w:val="52"/>
      <w:u w:val="none"/>
      <w:shd w:fill="auto" w:val="clear"/>
      <w:vertAlign w:val="baseline"/>
    </w:rPr>
  </w:style>
  <w:style w:type="paragraph" w:styleId="Ttulouser">
    <w:name w:val="Título (user)"/>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1"/>
    <w:qFormat/>
    <w:pPr>
      <w:suppressLineNumbers/>
    </w:pPr>
    <w:rPr>
      <w:rFonts w:cs="Noto Sans Devanagari"/>
    </w:rPr>
  </w:style>
  <w:style w:type="paragraph" w:styleId="normal11" w:default="1">
    <w:name w:val="normal1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normal111" w:default="1">
    <w:name w:val="normal11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Cabeceraypie">
    <w:name w:val="Cabecera y pie"/>
    <w:basedOn w:val="normal11"/>
    <w:qFormat/>
    <w:pPr/>
    <w:rPr/>
  </w:style>
  <w:style w:type="paragraph" w:styleId="Cabeceraypieuser">
    <w:name w:val="Cabecera y pie (user)"/>
    <w:basedOn w:val="normal1"/>
    <w:qFormat/>
    <w:pPr/>
    <w:rPr/>
  </w:style>
  <w:style w:type="paragraph" w:styleId="Header">
    <w:name w:val="header"/>
    <w:basedOn w:val="Cabeceraypie"/>
    <w:pPr/>
    <w:rPr/>
  </w:style>
  <w:style w:type="paragraph" w:styleId="Subtitle">
    <w:name w:val="Subtitle"/>
    <w:basedOn w:val="normal1"/>
    <w:next w:val="normal1"/>
    <w:qFormat/>
    <w:pPr>
      <w:keepNext w:val="true"/>
      <w:keepLines/>
      <w:pageBreakBefore w:val="false"/>
      <w:widowControl/>
      <w:pBdr/>
      <w:shd w:val="clear" w:fill="auto"/>
      <w:spacing w:lineRule="auto" w:line="240" w:before="0" w:after="320"/>
      <w:ind w:hanging="0" w:start="0" w:end="0"/>
      <w:jc w:val="start"/>
    </w:pPr>
    <w:rPr>
      <w:rFonts w:ascii="Arial" w:hAnsi="Arial" w:eastAsia="Arial" w:cs="Arial"/>
      <w:b w:val="false"/>
      <w:bCs w:val="false"/>
      <w:i w:val="false"/>
      <w:iCs w:val="false"/>
      <w:caps w:val="false"/>
      <w:smallCaps w:val="false"/>
      <w:strike w:val="false"/>
      <w:dstrike w:val="false"/>
      <w:color w:val="666666"/>
      <w:position w:val="0"/>
      <w:sz w:val="30"/>
      <w:szCs w:val="30"/>
      <w:u w:val="none"/>
      <w:shd w:fill="auto" w:val="clear"/>
      <w:vertAlign w:val="baseline"/>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comments" Target="comments.xml"/><Relationship Id="rId6" Type="http://schemas.microsoft.com/office/2011/relationships/commentsExtended" Target="commentsExtended.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v7EWoS2nIjrYRQ1pZkvhbYMMBWA==">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12</Pages>
  <Words>1901</Words>
  <Characters>9029</Characters>
  <CharactersWithSpaces>10403</CharactersWithSpaces>
  <Paragraphs>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2026-10-31T13:35:16Z</dcterms:modified>
  <cp:revision>1</cp:revision>
  <dc:subject/>
  <dc:title/>
</cp:coreProperties>
</file>