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200"/>
        <w:jc w:val="center"/>
      </w:pPr>
      <w:r>
        <w:rPr>
          <w:b/>
          <w:bCs/>
          <w:sz w:val="36"/>
          <w:szCs w:val="36"/>
        </w:rPr>
        <w:t xml:space="preserve">Trabajo Práctico 2 — Seguridad Física</w:t>
      </w:r>
    </w:p>
    <w:p>
      <w:pPr>
        <w:spacing w:after="80"/>
        <w:jc w:val="center"/>
      </w:pPr>
      <w:r>
        <w:rPr>
          <w:sz w:val="24"/>
          <w:szCs w:val="24"/>
        </w:rPr>
        <w:t xml:space="preserve">Auditoría y Seguridad de Sistemas · ARyS · IF046</w:t>
      </w:r>
    </w:p>
    <w:p>
      <w:pPr>
        <w:spacing w:after="80"/>
        <w:jc w:val="center"/>
      </w:pPr>
      <w:r>
        <w:rPr>
          <w:sz w:val="24"/>
          <w:szCs w:val="24"/>
        </w:rPr>
        <w:t xml:space="preserve">UNPSJB — Sede Trelew</w:t>
      </w:r>
    </w:p>
    <w:p>
      <w:pPr>
        <w:spacing w:before="480"/>
        <w:jc w:val="center"/>
      </w:pPr>
      <w:r>
        <w:rPr>
          <w:b/>
          <w:bCs/>
          <w:sz w:val="24"/>
          <w:szCs w:val="24"/>
        </w:rPr>
        <w:t xml:space="preserve">Soler, Franco Martín</w:t>
      </w:r>
    </w:p>
    <w:p>
      <w:pPr>
        <w:spacing w:after="480"/>
        <w:jc w:val="center"/>
      </w:pPr>
      <w:r>
        <w:rPr>
          <w:sz w:val="22"/>
          <w:szCs w:val="22"/>
        </w:rPr>
        <w:t xml:space="preserve">Septiembre 2026</w:t>
      </w:r>
    </w:p>
    <w:p>
      <w:pPr>
        <w:pStyle w:val="Heading1"/>
        <w:spacing w:after="120" w:before="240"/>
      </w:pPr>
      <w:r>
        <w:t xml:space="preserve">Parte A — Relevamiento de un entorno</w:t>
      </w:r>
    </w:p>
    <w:p>
      <w:pPr>
        <w:pStyle w:val="Heading2"/>
        <w:spacing w:after="120" w:before="240"/>
      </w:pPr>
      <w:r>
        <w:t xml:space="preserve">A.1 — Capas de defensa en profundidad</w:t>
      </w:r>
    </w:p>
    <w:p>
      <w:pPr>
        <w:spacing w:after="120"/>
      </w:pPr>
      <w:r>
        <w:rPr>
          <w:i/>
          <w:iCs/>
          <w:color w:val="999999"/>
        </w:rPr>
        <w:t xml:space="preserve">[PENDIENTE] diagrama/descripción de capas y capa faltante</w:t>
      </w:r>
    </w:p>
    <w:p>
      <w:pPr>
        <w:pStyle w:val="Heading2"/>
        <w:spacing w:after="120" w:before="240"/>
      </w:pPr>
      <w:r>
        <w:t xml:space="preserve">A.2 — Diez controles observados</w:t>
      </w:r>
    </w:p>
    <w:p>
      <w:pPr>
        <w:spacing w:after="120"/>
      </w:pPr>
      <w:r>
        <w:rPr>
          <w:i/>
          <w:iCs/>
          <w:color w:val="999999"/>
        </w:rPr>
        <w:t xml:space="preserve">[PENDIENTE] tabla de diez controles clasificados</w:t>
      </w:r>
    </w:p>
    <w:p>
      <w:pPr>
        <w:pStyle w:val="Heading2"/>
        <w:spacing w:after="120" w:before="240"/>
      </w:pPr>
      <w:r>
        <w:t xml:space="preserve">A.3 — Amenazas por familia</w:t>
      </w:r>
    </w:p>
    <w:p>
      <w:pPr>
        <w:spacing w:after="120"/>
      </w:pPr>
      <w:r>
        <w:rPr>
          <w:i/>
          <w:iCs/>
          <w:color w:val="999999"/>
        </w:rPr>
        <w:t xml:space="preserve">[PENDIENTE] amenazas identificadas por las tres familias</w:t>
      </w:r>
    </w:p>
    <w:p>
      <w:pPr>
        <w:pStyle w:val="Heading2"/>
        <w:spacing w:after="120" w:before="240"/>
      </w:pPr>
      <w:r>
        <w:t xml:space="preserve">A.4 — Tres hallazgos de mayor riesgo</w:t>
      </w:r>
    </w:p>
    <w:p>
      <w:pPr>
        <w:spacing w:after="120"/>
      </w:pPr>
      <w:r>
        <w:rPr>
          <w:i/>
          <w:iCs/>
          <w:color w:val="999999"/>
        </w:rPr>
        <w:t xml:space="preserve">[PENDIENTE] tres hallazgos con foto o croquis</w:t>
      </w:r>
    </w:p>
    <w:p>
      <w:pPr>
        <w:pStyle w:val="Heading1"/>
        <w:spacing w:after="120" w:before="240"/>
      </w:pPr>
      <w:r>
        <w:t xml:space="preserve">Parte B — Controles sobre el equipo (laboratorio)</w:t>
      </w:r>
    </w:p>
    <w:p>
      <w:pPr>
        <w:spacing w:after="120"/>
      </w:pPr>
      <w:r>
        <w:t xml:space="preserve">Los comandos se ejecutaron dentro del contenedor Docker del repositorio (imagen arys-lab:bookworm), salvo donde se indica lo contrario por requerir privilegios o hardware no disponible en un contenedor.</w:t>
      </w:r>
    </w:p>
    <w:p>
      <w:pPr>
        <w:pStyle w:val="Heading2"/>
        <w:spacing w:after="120" w:before="240"/>
      </w:pPr>
      <w:r>
        <w:t xml:space="preserve">B.1 — Cifrado de disco con LUKS</w:t>
      </w:r>
    </w:p>
    <w:p>
      <w:pPr>
        <w:spacing w:after="120"/>
      </w:pPr>
      <w:r>
        <w:rPr>
          <w:i/>
          <w:iCs/>
          <w:color w:val="999999"/>
        </w:rPr>
        <w:t xml:space="preserve">[PENDIENTE] ejecución y respuesta de la consigna</w:t>
      </w:r>
    </w:p>
    <w:p>
      <w:pPr>
        <w:pStyle w:val="Heading2"/>
        <w:spacing w:after="120" w:before="240"/>
      </w:pPr>
      <w:r>
        <w:t xml:space="preserve">B.2 — Bloqueo de puertos USB con USBGuard</w:t>
      </w:r>
    </w:p>
    <w:p>
      <w:pPr>
        <w:spacing w:after="120"/>
      </w:pPr>
      <w:r>
        <w:rPr>
          <w:i/>
          <w:iCs/>
          <w:color w:val="999999"/>
        </w:rPr>
        <w:t xml:space="preserve">[PENDIENTE] ejecución y respuesta de la consigna</w:t>
      </w:r>
    </w:p>
    <w:p>
      <w:pPr>
        <w:pStyle w:val="Heading2"/>
        <w:spacing w:after="120" w:before="240"/>
      </w:pPr>
      <w:r>
        <w:t xml:space="preserve">B.3 — Monitoreo de energía</w:t>
      </w:r>
    </w:p>
    <w:p>
      <w:pPr>
        <w:spacing w:after="120"/>
      </w:pPr>
      <w:r>
        <w:rPr>
          <w:i/>
          <w:iCs/>
          <w:color w:val="999999"/>
        </w:rPr>
        <w:t xml:space="preserve">[PENDIENTE] ejecución y respuesta de la consigna</w:t>
      </w:r>
    </w:p>
    <w:p>
      <w:pPr>
        <w:pStyle w:val="Heading1"/>
        <w:spacing w:after="120" w:before="240"/>
      </w:pPr>
      <w:r>
        <w:t xml:space="preserve">Parte C — Plan de mejora priorizado</w:t>
      </w:r>
    </w:p>
    <w:p>
      <w:pPr>
        <w:spacing w:after="120"/>
      </w:pPr>
      <w:r>
        <w:rPr>
          <w:i/>
          <w:iCs/>
          <w:color w:val="999999"/>
        </w:rPr>
        <w:t xml:space="preserve">[PENDIENTE] tabla de tratamiento del riesgo, ordenada por riesgo</w:t>
      </w:r>
    </w:p>
    <w:p>
      <w:pPr>
        <w:pStyle w:val="Heading2"/>
        <w:spacing w:after="120" w:before="240"/>
      </w:pPr>
      <w:r>
        <w:t xml:space="preserve">Trazabilidad normativa</w:t>
      </w:r>
    </w:p>
    <w:p>
      <w:pPr>
        <w:spacing w:after="120"/>
      </w:pPr>
      <w:r>
        <w:rPr>
          <w:i/>
          <w:iCs/>
          <w:color w:val="999999"/>
        </w:rPr>
        <w:t xml:space="preserve">[PENDIENTE] mapeo a ISO 27001 Anexo A cláusula 7 / NIST 800-53 PE</w:t>
      </w:r>
    </w:p>
    <w:p>
      <w:pPr>
        <w:pStyle w:val="Heading2"/>
        <w:spacing w:after="120" w:before="240"/>
      </w:pPr>
      <w:r>
        <w:t xml:space="preserve">Conclusión</w:t>
      </w:r>
    </w:p>
    <w:p>
      <w:pPr>
        <w:spacing w:after="120"/>
      </w:pPr>
      <w:r>
        <w:rPr>
          <w:i/>
          <w:iCs/>
          <w:color w:val="999999"/>
        </w:rPr>
        <w:t xml:space="preserve">[PENDIENTE] párrafo de conclusión: un solo control, cuál y por qué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2026-09-10T21:48:51.432Z</dcterms:created>
  <dcterms:modified xsi:type="dcterms:W3CDTF">2026-09-10T21:48:51.432Z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