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t xml:space="preserve">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spacing w:after="60" w:before="120"/>
      </w:pPr>
      <w:r>
        <w:rPr>
          <w:b/>
          <w:bCs/>
          <w:sz w:val="20"/>
          <w:szCs w:val="20"/>
        </w:rPr>
        <w:t xml:space="preserve">Cifrado</w:t>
      </w:r>
    </w:p>
    <w:p>
      <w:pPr>
        <w:shd w:fill="F2F2F2" w:val="clear"/>
        <w:spacing w:after="0"/>
      </w:pPr>
      <w:r>
        <w:rPr>
          <w:rFonts w:ascii="Consolas" w:cs="Consolas" w:eastAsia="Consolas" w:hAnsi="Consolas"/>
          <w:sz w:val="17"/>
          <w:szCs w:val="17"/>
        </w:rPr>
        <w:t xml:space="preserve">$ gpg -c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-rw-r--r-- 1 root root 110 orden.txt.gpg</w:t>
      </w:r>
    </w:p>
    <w:p>
      <w:pPr>
        <w:spacing w:after="60" w:before="120"/>
      </w:pPr>
      <w:r>
        <w:rPr>
          <w:b/>
          <w:bCs/>
          <w:sz w:val="20"/>
          <w:szCs w:val="20"/>
        </w:rPr>
        <w:t xml:space="preserve">Contenido cifrado: binario ilegible</w:t>
      </w:r>
    </w:p>
    <w:p>
      <w:pPr>
        <w:shd w:fill="F2F2F2" w:val="clear"/>
        <w:spacing w:after="0"/>
      </w:pPr>
      <w:r>
        <w:rPr>
          <w:rFonts w:ascii="Consolas" w:cs="Consolas" w:eastAsia="Consolas" w:hAnsi="Consolas"/>
          <w:sz w:val="17"/>
          <w:szCs w:val="17"/>
        </w:rPr>
        <w:t xml:space="preserve">$ file orden.txt.gpg &amp;&amp; cat orden.txt.gpg</w:t>
      </w:r>
    </w:p>
    <w:p>
      <w:pPr>
        <w:shd w:fill="F2F2F2" w:val="clear"/>
        <w:spacing w:after="0"/>
      </w:pPr>
      <w:r>
        <w:rPr>
          <w:rFonts w:ascii="Consolas" w:cs="Consolas" w:eastAsia="Consolas" w:hAnsi="Consolas"/>
          <w:sz w:val="17"/>
          <w:szCs w:val="17"/>
        </w:rPr>
        <w:t xml:space="preserve">orden.txt.gpg: GPG symmetrically encrypted data (AES256 cipher)</w:t>
      </w:r>
    </w:p>
    <w:p>
      <w:pPr>
        <w:shd w:fill="F2F2F2" w:val="clear"/>
        <w:spacing w:after="120"/>
      </w:pPr>
      <w:r>
        <w:rPr>
          <w:rFonts w:ascii="Consolas" w:cs="Consolas" w:eastAsia="Consolas" w:hAnsi="Consolas"/>
          <w:sz w:val="17"/>
          <w:szCs w:val="17"/>
        </w:rPr>
        <w:t xml:space="preserve">&lt;bytes binarios no imprimibles -- contenido cifrado, no reproducible como texto&gt;</w:t>
      </w:r>
    </w:p>
    <w:p>
      <w:pPr>
        <w:spacing w:after="60" w:before="120"/>
      </w:pPr>
      <w:r>
        <w:rPr>
          <w:b/>
          <w:bCs/>
          <w:sz w:val="20"/>
          <w:szCs w:val="20"/>
        </w:rPr>
        <w:t xml:space="preserve">Descifrado</w:t>
      </w:r>
    </w:p>
    <w:p>
      <w:pPr>
        <w:shd w:fill="F2F2F2" w:val="clear"/>
        <w:spacing w:after="0"/>
      </w:pPr>
      <w:r>
        <w:rPr>
          <w:rFonts w:ascii="Consolas" w:cs="Consolas" w:eastAsia="Consolas" w:hAnsi="Consolas"/>
          <w:sz w:val="17"/>
          <w:szCs w:val="17"/>
        </w:rPr>
        <w:t xml:space="preserve">$ gpg -d orden.txt.gpg</w:t>
      </w:r>
    </w:p>
    <w:p>
      <w:pPr>
        <w:shd w:fill="F2F2F2" w:val="clear"/>
        <w:spacing w:after="0"/>
      </w:pPr>
      <w:r>
        <w:rPr>
          <w:rFonts w:ascii="Consolas" w:cs="Consolas" w:eastAsia="Consolas" w:hAnsi="Consolas"/>
          <w:sz w:val="17"/>
          <w:szCs w:val="17"/>
        </w:rPr>
        <w:t xml:space="preserve">gpg: AES256.CFB encrypted data</w:t>
      </w:r>
    </w:p>
    <w:p>
      <w:pPr>
        <w:shd w:fill="F2F2F2" w:val="clear"/>
        <w:spacing w:after="0"/>
      </w:pPr>
      <w:r>
        <w:rPr>
          <w:rFonts w:ascii="Consolas" w:cs="Consolas" w:eastAsia="Consolas" w:hAnsi="Consolas"/>
          <w:sz w:val="17"/>
          <w:szCs w:val="17"/>
        </w:rPr>
        <w:t xml:space="preserve">Transferir 9000 a la cuenta 55</w:t>
      </w:r>
    </w:p>
    <w:p>
      <w:pPr>
        <w:shd w:fill="F2F2F2" w:val="clear"/>
        <w:spacing w:after="120"/>
      </w:pPr>
      <w:r>
        <w:rPr>
          <w:rFonts w:ascii="Consolas" w:cs="Consolas" w:eastAsia="Consolas" w:hAnsi="Consolas"/>
          <w:sz w:val="17"/>
          <w:szCs w:val="17"/>
        </w:rPr>
        <w:t xml:space="preserve">gpg: encrypted with 1 passphrase</w:t>
      </w:r>
    </w:p>
    <w:p>
      <w:pPr>
        <w:spacing w:after="60" w:before="160"/>
      </w:pPr>
      <w:r>
        <w:rPr>
          <w:b/>
          <w:bCs/>
        </w:rPr>
        <w:t xml:space="preserve">Respuesta</w:t>
      </w:r>
    </w:p>
    <w:p>
      <w:pPr>
        <w:spacing w:after="120"/>
      </w:pPr>
      <w:r>
        <w:rPr>
          <w:i/>
          <w:iCs/>
          <w:color w:val="999999"/>
        </w:rPr>
        <w:t xml:space="preserve">[PENDIENTE] respuesta a la consigna</w:t>
      </w:r>
    </w:p>
    <w:p>
      <w:pPr>
        <w:pStyle w:val="Heading2"/>
        <w:spacing w:after="120" w:before="240"/>
      </w:pPr>
      <w:r>
        <w:t xml:space="preserve">B.3 — Confidencialidad e integridad: control de acceso</w:t>
      </w:r>
    </w:p>
    <w:p>
      <w:pPr>
        <w:spacing w:after="120"/>
      </w:pPr>
      <w:r>
        <w:rPr>
          <w:i/>
          <w:iCs/>
          <w:color w:val="999999"/>
        </w:rPr>
        <w:t xml:space="preserve">[PENDIENTE] ejecución y respuesta de la consigna</w:t>
      </w:r>
    </w:p>
    <w:p>
      <w:pPr>
        <w:pStyle w:val="Heading2"/>
        <w:spacing w:after="120" w:before="240"/>
      </w:pPr>
      <w:r>
        <w:t xml:space="preserve">B.4 — Disponibilidad: el backup que se prueba</w:t>
      </w:r>
    </w:p>
    <w:p>
      <w:pPr>
        <w:spacing w:after="120"/>
      </w:pPr>
      <w:r>
        <w:rPr>
          <w:i/>
          <w:iCs/>
          <w:color w:val="999999"/>
        </w:rPr>
        <w:t xml:space="preserve">[PENDIENTE] ejecución y respuesta de la consigna</w:t>
      </w:r>
    </w:p>
    <w:p>
      <w:pPr>
        <w:pStyle w:val="Heading1"/>
        <w:spacing w:after="120" w:before="240"/>
      </w:pPr>
      <w:r>
        <w:t xml:space="preserve">Parte C — Del riesgo al control</w:t>
      </w:r>
    </w:p>
    <w:p>
      <w:pPr>
        <w:spacing w:after="120"/>
      </w:pPr>
      <w:r>
        <w:rPr>
          <w:i/>
          <w:iCs/>
          <w:color w:val="999999"/>
        </w:rPr>
        <w:t xml:space="preserve">[PENDIENTE] tabla de dos controles propuestos</w:t>
      </w:r>
    </w:p>
    <w:p>
      <w:pPr>
        <w:spacing w:after="120"/>
      </w:pPr>
      <w:r>
        <w:rPr>
          <w:i/>
          <w:iCs/>
          <w:color w:val="999999"/>
        </w:rPr>
        <w:t xml:space="preserve">[PENDIENTE] párrafo de justificación de prioridad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2026-09-09T22:11:08.612Z</dcterms:created>
  <dcterms:modified xsi:type="dcterms:W3CDTF">2026-09-09T22:11:08.612Z</dcterms:modified>
</cp:coreProperties>
</file>

<file path=docProps/custom.xml><?xml version="1.0" encoding="utf-8"?>
<Properties xmlns="http://schemas.openxmlformats.org/officeDocument/2006/custom-properties" xmlns:vt="http://schemas.openxmlformats.org/officeDocument/2006/docPropsVTypes"/>
</file>