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1 — Conceptos de Seguridad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El inventario y la tríada</w:t>
      </w:r>
    </w:p>
    <w:p>
      <w:pPr>
        <w:pStyle w:val="Heading2"/>
        <w:spacing w:after="120" w:before="240"/>
      </w:pPr>
      <w:r>
        <w:t xml:space="preserve">A.1 / A.2 — Activos y pilar CIA crítico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8"/>
        <w:gridCol w:w="2166"/>
        <w:gridCol w:w="4332"/>
      </w:tblGrid>
      <w:tr>
        <w:trPr>
          <w:tblHeader/>
        </w:trPr>
        <w:tc>
          <w:tcPr>
            <w:tcW w:type="dxa" w:w="252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Activo</w:t>
            </w:r>
          </w:p>
        </w:tc>
        <w:tc>
          <w:tcPr>
            <w:tcW w:type="dxa" w:w="2166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Pilar CIA crítico</w:t>
            </w:r>
          </w:p>
        </w:tc>
        <w:tc>
          <w:tcPr>
            <w:tcW w:type="dxa" w:w="4332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Justificación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privada (.pem) de acceso a la VM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Es la llave de entrada a producción. Si se filtra, un tercero entra con mis mismos permisos. Perderla es recuperable rotando el par de claves; que se filtre, no.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SSH de acceso a los repositorios (frontend y backend)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se filtra, el atacante no solo lee el código: puede modificarlo y subirlo. La pérdida de confidencialidad de la clave se convierte en pérdida de integridad del software.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Copias locales de bases de datos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Contienen datos reales de producción fuera del entorno controlado que los protege. Es el activo de mayor exposición: si la notebook se pierde o es comprometida, el daño ya está hecho.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Esquema de usuarios y permisos de la base de datos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Integridad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Define quién puede leer y quién puede escribir en producción. Si alguien lo altera y se otorga permisos de escritura, el control de acceso deja de existir sin que nadie se entere. Lo crítico no es que se vea, es que no se modifique.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 VM de producción y los servicios que expone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Disponibilidad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la VM se cae, los sistemas dejan de operar. Acá el pilar crítico se invierte: importa menos quién ve el contenido que el servicio siga en pie.</w:t>
            </w:r>
          </w:p>
        </w:tc>
      </w:tr>
    </w:tbl>
    <w:p>
      <w:pPr>
        <w:pStyle w:val="Heading2"/>
        <w:spacing w:after="120" w:before="240"/>
      </w:pPr>
      <w:r>
        <w:t xml:space="preserve">A.3 — Análisis de riesgo del activo principal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7040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19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Activo</w:t>
            </w:r>
          </w:p>
        </w:tc>
        <w:tc>
          <w:tcPr>
            <w:tcW w:type="dxa" w:w="70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Copias locales de bases de datos de producción</w:t>
            </w:r>
          </w:p>
        </w:tc>
      </w:tr>
      <w:tr>
        <w:tc>
          <w:tcPr>
            <w:tcW w:type="dxa" w:w="19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Amenaza</w:t>
            </w:r>
          </w:p>
        </w:tc>
        <w:tc>
          <w:tcPr>
            <w:tcW w:type="dxa" w:w="70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Acceso físico no autorizado al equipo: robo o extravío de la notebook, o un tercero que aprovecha una sesión desatendida sin bloquear.</w:t>
            </w:r>
          </w:p>
        </w:tc>
      </w:tr>
      <w:tr>
        <w:tc>
          <w:tcPr>
            <w:tcW w:type="dxa" w:w="19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Vulnerabilidad</w:t>
            </w:r>
          </w:p>
        </w:tc>
        <w:tc>
          <w:tcPr>
            <w:tcW w:type="dxa" w:w="70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Las copias se guardan sin cifrar en el disco. La contraseña del sistema operativo protege la sesión, no el archivo: alcanza con arrancar desde otro medio o extraer el disco para leerlo en texto plano.</w:t>
            </w:r>
          </w:p>
        </w:tc>
      </w:tr>
      <w:tr>
        <w:tc>
          <w:tcPr>
            <w:tcW w:type="dxa" w:w="19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Impacto</w:t>
            </w:r>
          </w:p>
        </w:tc>
        <w:tc>
          <w:tcPr>
            <w:tcW w:type="dxa" w:w="70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9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Probabilidad</w:t>
            </w:r>
          </w:p>
        </w:tc>
        <w:tc>
          <w:tcPr>
            <w:tcW w:type="dxa" w:w="70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Media</w:t>
            </w:r>
          </w:p>
        </w:tc>
      </w:tr>
    </w:tbl>
    <w:p>
      <w:pPr>
        <w:spacing w:before="120"/>
      </w:pPr>
    </w:p>
    <w:p>
      <w:pPr>
        <w:spacing w:after="120"/>
      </w:pPr>
      <w:r>
        <w:t xml:space="preserve">El impacto es Alto porque las copias contienen datos personales identificables junto con género y orientación política. La Ley 25.326 de Protección de Datos Personales clasifica las opiniones políticas como dato sensible, así que una filtración no solo perjudica a las personas listadas: expone al organismo a responsabilidad legal. Además el daño es irreversible — una clave comprometida se rota, unos datos filtrados no vuelven.</w:t>
      </w:r>
    </w:p>
    <w:p>
      <w:pPr>
        <w:spacing w:after="120"/>
      </w:pPr>
      <w:r>
        <w:t xml:space="preserve">La probabilidad es Media porque habitualmente bloqueo el equipo, lo que reduce la ventana de una sesión desatendida. Pero el bloqueo no cubre el escenario de robo o extravío: sin cifrado de disco, cualquiera con el equipo en la mano llega al archivo.</w:t>
      </w:r>
    </w:p>
    <w:p>
      <w:pPr>
        <w:pStyle w:val="Heading1"/>
        <w:spacing w:after="120" w:before="240"/>
      </w:pPr>
      <w:r>
        <w:t xml:space="preserve">Parte B — La tríada en acción (laboratorio)</w:t>
      </w:r>
    </w:p>
    <w:p>
      <w:pPr>
        <w:spacing w:after="120"/>
      </w:pPr>
      <w:r>
        <w:t xml:space="preserve">Todos los comandos se ejecutaron dentro del contenedor Docker del repositorio (imagen arys-lab:bookworm, Debian bookworm-slim), lo que fija las versiones de las herramientas y aísla el laboratorio del sistema anfitrión. Los bloques monoespaciados reproducen la transcripción literal de la terminal.</w:t>
      </w:r>
    </w:p>
    <w:p>
      <w:pPr>
        <w:pStyle w:val="Heading2"/>
        <w:spacing w:after="120" w:before="240"/>
      </w:pPr>
      <w:r>
        <w:t xml:space="preserve">B.1 — Integridad: funciones de hash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Confidencialidad: cifrado simétrico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Confidencialidad e integridad: control de acceso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B.4 — Disponibilidad: el backup que se prueba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Del riesgo al control</w:t>
      </w:r>
    </w:p>
    <w:p>
      <w:pPr>
        <w:spacing w:after="120"/>
      </w:pPr>
      <w:r>
        <w:rPr>
          <w:i/>
          <w:iCs/>
          <w:color w:val="999999"/>
        </w:rPr>
        <w:t xml:space="preserve">[PENDIENTE] tabla de dos controles propuestos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justificación de prioridad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2026-09-09T21:51:14.335Z</dcterms:created>
  <dcterms:modified xsi:type="dcterms:W3CDTF">2026-09-09T21:51:14.335Z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