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i/>
          <w:sz w:val="20"/>
          <w:szCs w:val="20"/>
          <w:u w:val="single"/>
        </w:rPr>
      </w:pPr>
      <w:r w:rsidRPr="00A10100">
        <w:rPr>
          <w:rFonts w:ascii="MS Reference Sans Serif" w:hAnsi="MS Reference Sans Serif"/>
          <w:i/>
          <w:sz w:val="20"/>
          <w:szCs w:val="20"/>
          <w:u w:val="single"/>
        </w:rPr>
        <w:t xml:space="preserve">8. Термодинамический и статистический методы исследования. Понятия о </w:t>
      </w:r>
      <w:proofErr w:type="gramStart"/>
      <w:r w:rsidRPr="00A10100">
        <w:rPr>
          <w:rFonts w:ascii="MS Reference Sans Serif" w:hAnsi="MS Reference Sans Serif"/>
          <w:i/>
          <w:sz w:val="20"/>
          <w:szCs w:val="20"/>
          <w:u w:val="single"/>
        </w:rPr>
        <w:t>равновесном</w:t>
      </w:r>
      <w:proofErr w:type="gramEnd"/>
    </w:p>
    <w:p w:rsidR="00CA0F4B" w:rsidRDefault="00E1660B" w:rsidP="00A10100">
      <w:pPr>
        <w:spacing w:after="0" w:line="360" w:lineRule="auto"/>
        <w:ind w:right="57"/>
        <w:rPr>
          <w:rFonts w:ascii="MS Reference Sans Serif" w:hAnsi="MS Reference Sans Serif"/>
          <w:i/>
          <w:sz w:val="20"/>
          <w:szCs w:val="20"/>
          <w:u w:val="single"/>
        </w:rPr>
      </w:pPr>
      <w:proofErr w:type="gramStart"/>
      <w:r w:rsidRPr="00A10100">
        <w:rPr>
          <w:rFonts w:ascii="MS Reference Sans Serif" w:hAnsi="MS Reference Sans Serif"/>
          <w:i/>
          <w:sz w:val="20"/>
          <w:szCs w:val="20"/>
          <w:u w:val="single"/>
        </w:rPr>
        <w:t>процессе</w:t>
      </w:r>
      <w:proofErr w:type="gramEnd"/>
      <w:r w:rsidRPr="00A10100">
        <w:rPr>
          <w:rFonts w:ascii="MS Reference Sans Serif" w:hAnsi="MS Reference Sans Serif"/>
          <w:i/>
          <w:sz w:val="20"/>
          <w:szCs w:val="20"/>
          <w:u w:val="single"/>
        </w:rPr>
        <w:t>. Давление и температура идеального газа. Уравнение состояния идеального газа</w:t>
      </w:r>
      <w:r w:rsidR="00A10100" w:rsidRPr="00A10100">
        <w:rPr>
          <w:rFonts w:ascii="MS Reference Sans Serif" w:hAnsi="MS Reference Sans Serif"/>
          <w:i/>
          <w:sz w:val="20"/>
          <w:szCs w:val="20"/>
          <w:u w:val="single"/>
        </w:rPr>
        <w:t xml:space="preserve"> </w:t>
      </w:r>
      <w:proofErr w:type="spellStart"/>
      <w:r w:rsidRPr="00A10100">
        <w:rPr>
          <w:rFonts w:ascii="MS Reference Sans Serif" w:hAnsi="MS Reference Sans Serif"/>
          <w:i/>
          <w:sz w:val="20"/>
          <w:szCs w:val="20"/>
          <w:u w:val="single"/>
        </w:rPr>
        <w:t>Менделеева-Клайперона</w:t>
      </w:r>
      <w:proofErr w:type="spellEnd"/>
      <w:r w:rsidRPr="00A10100">
        <w:rPr>
          <w:rFonts w:ascii="MS Reference Sans Serif" w:hAnsi="MS Reference Sans Serif"/>
          <w:i/>
          <w:sz w:val="20"/>
          <w:szCs w:val="20"/>
          <w:u w:val="single"/>
        </w:rPr>
        <w:t>. Изотермический, изохорный и изобарный процессы.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i/>
          <w:sz w:val="20"/>
          <w:szCs w:val="20"/>
          <w:u w:val="single"/>
        </w:rPr>
      </w:pP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При изучении тепловых процессов и свойств тел в физике различают два подхода: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b/>
          <w:i/>
          <w:sz w:val="20"/>
          <w:szCs w:val="20"/>
        </w:rPr>
      </w:pPr>
      <w:r w:rsidRPr="00A10100">
        <w:rPr>
          <w:rFonts w:ascii="MS Reference Sans Serif" w:hAnsi="MS Reference Sans Serif"/>
          <w:b/>
          <w:i/>
          <w:sz w:val="20"/>
          <w:szCs w:val="20"/>
        </w:rPr>
        <w:t>статистический (молекулярно-кинетический) и термодинамический.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b/>
          <w:i/>
          <w:sz w:val="20"/>
          <w:szCs w:val="20"/>
        </w:rPr>
        <w:t>В молекулярно-кинетической теории (МКТ)</w:t>
      </w:r>
      <w:r w:rsidRPr="00A10100">
        <w:rPr>
          <w:rFonts w:ascii="MS Reference Sans Serif" w:hAnsi="MS Reference Sans Serif"/>
          <w:sz w:val="20"/>
          <w:szCs w:val="20"/>
        </w:rPr>
        <w:t xml:space="preserve"> свойства тел, которые непосредственно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наблюдаются в опыте (давление, температура, теплоёмкость), рассматриваются как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результат суммарного действия составляющих тело частиц. При определении величины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результата МКТ пользуются статистическим методом, то есть использует характеристики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движения (например, скорость) не отдельной частицы, а средние величины, определяемые по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 xml:space="preserve">огромной совокупности частиц. </w:t>
      </w:r>
      <w:r w:rsidRPr="00A10100">
        <w:rPr>
          <w:rFonts w:ascii="MS Reference Sans Serif" w:hAnsi="MS Reference Sans Serif"/>
          <w:i/>
          <w:sz w:val="20"/>
          <w:szCs w:val="20"/>
        </w:rPr>
        <w:t>Поэтому часто МКТ называют статистической физикой.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b/>
          <w:i/>
          <w:sz w:val="20"/>
          <w:szCs w:val="20"/>
        </w:rPr>
        <w:t>Термодинамика</w:t>
      </w:r>
      <w:r w:rsidRPr="00A10100">
        <w:rPr>
          <w:rFonts w:ascii="MS Reference Sans Serif" w:hAnsi="MS Reference Sans Serif"/>
          <w:sz w:val="20"/>
          <w:szCs w:val="20"/>
        </w:rPr>
        <w:t xml:space="preserve"> изучает макроскопические свойства тел и процессы, происходящие </w:t>
      </w:r>
      <w:proofErr w:type="gramStart"/>
      <w:r w:rsidRPr="00A10100">
        <w:rPr>
          <w:rFonts w:ascii="MS Reference Sans Serif" w:hAnsi="MS Reference Sans Serif"/>
          <w:sz w:val="20"/>
          <w:szCs w:val="20"/>
        </w:rPr>
        <w:t>в</w:t>
      </w:r>
      <w:proofErr w:type="gramEnd"/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них, не вдаваясь в микроскопическое рассмотрение процессов, а опираясь на ряд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фундаментальных законов, установленных на основании обобщения большой совокупности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опытных данных. Термодинамика оперирует, в основном, с понятием энергии, заключенной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в телах, количествами совершаемой ими работы и тепла, которым они обмениваются.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Однако</w:t>
      </w:r>
      <w:proofErr w:type="gramStart"/>
      <w:r w:rsidRPr="00A10100">
        <w:rPr>
          <w:rFonts w:ascii="MS Reference Sans Serif" w:hAnsi="MS Reference Sans Serif"/>
          <w:sz w:val="20"/>
          <w:szCs w:val="20"/>
        </w:rPr>
        <w:t>,</w:t>
      </w:r>
      <w:proofErr w:type="gramEnd"/>
      <w:r w:rsidRPr="00A10100">
        <w:rPr>
          <w:rFonts w:ascii="MS Reference Sans Serif" w:hAnsi="MS Reference Sans Serif"/>
          <w:sz w:val="20"/>
          <w:szCs w:val="20"/>
        </w:rPr>
        <w:t xml:space="preserve"> термодинамика не пытается вникать в детальное описание элементарных процессов,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а интересуется лишь общими характеристиками. Поэтому термодинамика устанавливает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только общие закономерности, которым должны удовлетворять описания элементарных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процессов и служит для отбора гипотез, рассматриваемых в МКТ.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 xml:space="preserve">Очень часто рассматривают преобразование системы от </w:t>
      </w:r>
      <w:proofErr w:type="gramStart"/>
      <w:r w:rsidRPr="00A10100">
        <w:rPr>
          <w:rFonts w:ascii="MS Reference Sans Serif" w:hAnsi="MS Reference Sans Serif"/>
          <w:sz w:val="20"/>
          <w:szCs w:val="20"/>
        </w:rPr>
        <w:t>начального</w:t>
      </w:r>
      <w:proofErr w:type="gramEnd"/>
      <w:r w:rsidRPr="00A10100">
        <w:rPr>
          <w:rFonts w:ascii="MS Reference Sans Serif" w:hAnsi="MS Reference Sans Serif"/>
          <w:sz w:val="20"/>
          <w:szCs w:val="20"/>
        </w:rPr>
        <w:t xml:space="preserve"> к конечному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состоянию через непрерывную последовательность промежуточных состояний. На (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V,p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>)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диаграмме такой переход можно изобразить кривой, соединяющей две точки (начальные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 xml:space="preserve">и конечные состояния). </w:t>
      </w:r>
      <w:r w:rsidRPr="00A10100">
        <w:rPr>
          <w:rFonts w:ascii="MS Reference Sans Serif" w:hAnsi="MS Reference Sans Serif"/>
          <w:b/>
          <w:i/>
          <w:sz w:val="20"/>
          <w:szCs w:val="20"/>
          <w:u w:val="single"/>
        </w:rPr>
        <w:t>Равновесным процессом</w:t>
      </w:r>
      <w:r w:rsidRPr="00A10100">
        <w:rPr>
          <w:rFonts w:ascii="MS Reference Sans Serif" w:hAnsi="MS Reference Sans Serif"/>
          <w:sz w:val="20"/>
          <w:szCs w:val="20"/>
        </w:rPr>
        <w:t xml:space="preserve"> называется процесс, состоящий из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непрерывной последовательности равновесных состояний. Равновесные процессы –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обратимы, то есть начав с состояния</w:t>
      </w:r>
      <w:proofErr w:type="gramStart"/>
      <w:r w:rsidRPr="00A10100">
        <w:rPr>
          <w:rFonts w:ascii="MS Reference Sans Serif" w:hAnsi="MS Reference Sans Serif"/>
          <w:sz w:val="20"/>
          <w:szCs w:val="20"/>
        </w:rPr>
        <w:t xml:space="preserve"> А</w:t>
      </w:r>
      <w:proofErr w:type="gramEnd"/>
      <w:r w:rsidRPr="00A10100">
        <w:rPr>
          <w:rFonts w:ascii="MS Reference Sans Serif" w:hAnsi="MS Reference Sans Serif"/>
          <w:sz w:val="20"/>
          <w:szCs w:val="20"/>
        </w:rPr>
        <w:t xml:space="preserve"> и закончив состоянием В, можно, проходя те же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промежуточные состояния, вернуться вновь в состояние А. Можно приблизиться к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обратимым процессам, если изменять внешние условия так медленно, что система успеет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прийти в тепловое равновесие в соответствие с изменившимися условиями. Например,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если быстро перемещать поршень в цилиндре, заполненном газом, то в расширенной</w:t>
      </w:r>
      <w:r w:rsidR="00A10100">
        <w:rPr>
          <w:rFonts w:ascii="MS Reference Sans Serif" w:hAnsi="MS Reference Sans Serif"/>
          <w:sz w:val="20"/>
          <w:szCs w:val="20"/>
        </w:rPr>
        <w:t xml:space="preserve"> </w:t>
      </w:r>
      <w:r w:rsidRPr="00A10100">
        <w:rPr>
          <w:rFonts w:ascii="MS Reference Sans Serif" w:hAnsi="MS Reference Sans Serif"/>
          <w:sz w:val="20"/>
          <w:szCs w:val="20"/>
        </w:rPr>
        <w:t>массе газа возникают потоки и переходное состояние не будет состоянием равновесия.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b/>
          <w:i/>
          <w:sz w:val="20"/>
          <w:szCs w:val="20"/>
        </w:rPr>
        <w:t>Давление, температура и объем</w:t>
      </w:r>
      <w:r w:rsidRPr="00A10100">
        <w:rPr>
          <w:rFonts w:ascii="MS Reference Sans Serif" w:hAnsi="MS Reference Sans Serif"/>
          <w:sz w:val="20"/>
          <w:szCs w:val="20"/>
        </w:rPr>
        <w:t xml:space="preserve"> - параметры состояния газа. Или их называют макропараметрами. </w:t>
      </w:r>
      <w:r w:rsidRPr="00A10100">
        <w:rPr>
          <w:rFonts w:ascii="MS Reference Sans Serif" w:hAnsi="MS Reference Sans Serif"/>
          <w:b/>
          <w:i/>
          <w:sz w:val="20"/>
          <w:szCs w:val="20"/>
          <w:u w:val="single"/>
        </w:rPr>
        <w:t>Температура</w:t>
      </w:r>
      <w:r w:rsidRPr="00A10100">
        <w:rPr>
          <w:rFonts w:ascii="MS Reference Sans Serif" w:hAnsi="MS Reference Sans Serif"/>
          <w:sz w:val="20"/>
          <w:szCs w:val="20"/>
        </w:rPr>
        <w:t xml:space="preserve"> - внешняя характеристика скоростей частиц газа. </w:t>
      </w:r>
      <w:r w:rsidRPr="00A10100">
        <w:rPr>
          <w:rFonts w:ascii="MS Reference Sans Serif" w:hAnsi="MS Reference Sans Serif"/>
          <w:b/>
          <w:i/>
          <w:sz w:val="20"/>
          <w:szCs w:val="20"/>
          <w:u w:val="single"/>
        </w:rPr>
        <w:lastRenderedPageBreak/>
        <w:t>Давление</w:t>
      </w:r>
      <w:r w:rsidRPr="00A10100">
        <w:rPr>
          <w:rFonts w:ascii="MS Reference Sans Serif" w:hAnsi="MS Reference Sans Serif"/>
          <w:sz w:val="20"/>
          <w:szCs w:val="20"/>
        </w:rPr>
        <w:t xml:space="preserve"> - внешняя характеристика соударений со стенками, например, сосуда. </w:t>
      </w:r>
      <w:r w:rsidRPr="00A10100">
        <w:rPr>
          <w:rFonts w:ascii="MS Reference Sans Serif" w:hAnsi="MS Reference Sans Serif"/>
          <w:b/>
          <w:i/>
          <w:sz w:val="20"/>
          <w:szCs w:val="20"/>
          <w:u w:val="single"/>
        </w:rPr>
        <w:t>Объем</w:t>
      </w:r>
      <w:r w:rsidRPr="00A10100">
        <w:rPr>
          <w:rFonts w:ascii="MS Reference Sans Serif" w:hAnsi="MS Reference Sans Serif"/>
          <w:sz w:val="20"/>
          <w:szCs w:val="20"/>
        </w:rPr>
        <w:t xml:space="preserve"> - место, куда заключены частицы газа. Газ занимает весь предоставленный ему объем. Существуют еще внешние параметры, например тела или поля, действующие на газ </w:t>
      </w:r>
      <w:proofErr w:type="gramStart"/>
      <w:r w:rsidRPr="00A10100">
        <w:rPr>
          <w:rFonts w:ascii="MS Reference Sans Serif" w:hAnsi="MS Reference Sans Serif"/>
          <w:sz w:val="20"/>
          <w:szCs w:val="20"/>
        </w:rPr>
        <w:t>из</w:t>
      </w:r>
      <w:proofErr w:type="gramEnd"/>
      <w:r w:rsidRPr="00A10100">
        <w:rPr>
          <w:rFonts w:ascii="MS Reference Sans Serif" w:hAnsi="MS Reference Sans Serif"/>
          <w:sz w:val="20"/>
          <w:szCs w:val="20"/>
        </w:rPr>
        <w:t xml:space="preserve"> вне.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i/>
          <w:sz w:val="20"/>
          <w:szCs w:val="20"/>
          <w:u w:val="single"/>
        </w:rPr>
        <w:t>Микропараметры (маленькие, внутренние характеристики) газа</w:t>
      </w:r>
      <w:r w:rsidRPr="00A10100">
        <w:rPr>
          <w:rFonts w:ascii="MS Reference Sans Serif" w:hAnsi="MS Reference Sans Serif"/>
          <w:sz w:val="20"/>
          <w:szCs w:val="20"/>
        </w:rPr>
        <w:t xml:space="preserve"> - это параметры, которые мы не можем оценить без специальных экспериментов, например, скорость и направление движения каждой молекулы газа.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Состояние термодинамической системы, когда все ее параметры при неизменных внешних условиях не изменяются со временем, называют равновесным.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jc w:val="center"/>
        <w:rPr>
          <w:rFonts w:ascii="MS Reference Sans Serif" w:hAnsi="MS Reference Sans Serif"/>
          <w:b/>
          <w:i/>
          <w:szCs w:val="20"/>
          <w:u w:val="single"/>
        </w:rPr>
      </w:pPr>
      <w:r w:rsidRPr="00A10100">
        <w:rPr>
          <w:rFonts w:ascii="MS Reference Sans Serif" w:hAnsi="MS Reference Sans Serif"/>
          <w:b/>
          <w:i/>
          <w:szCs w:val="20"/>
          <w:u w:val="single"/>
        </w:rPr>
        <w:t>Температура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Это макропараметр, который характеризует способность тел к теплопередаче. Если два тела разной температуры контактируют, то произойдет переход энергии или передача теплоты от более горячего к холодному. Установится тепловое равновесие, все части будут одинаковой температуры.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Температура характеризует интенсивность движения частиц, поэтому связана со средней кинетической энергией частиц. Из опыта известно, что средняя кинетическая энергия молекул не зависит от вида газа и определяется температурой.</w:t>
      </w:r>
    </w:p>
    <w:p w:rsidR="00E1660B" w:rsidRPr="00A10100" w:rsidRDefault="00E1660B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color w:val="000000"/>
          <w:sz w:val="20"/>
          <w:szCs w:val="20"/>
          <w:shd w:val="clear" w:color="auto" w:fill="FFFFFF"/>
        </w:rPr>
      </w:pPr>
      <w:r w:rsidRPr="00A10100">
        <w:rPr>
          <w:rStyle w:val="apple-converted-space"/>
          <w:rFonts w:ascii="MS Reference Sans Serif" w:hAnsi="MS Reference Sans Serif"/>
          <w:color w:val="000000"/>
          <w:sz w:val="20"/>
          <w:szCs w:val="20"/>
          <w:shd w:val="clear" w:color="auto" w:fill="FFFFFF"/>
        </w:rPr>
        <w:t> </w:t>
      </w:r>
      <w:r w:rsidRPr="00A10100">
        <w:rPr>
          <w:rFonts w:ascii="MS Reference Sans Serif" w:hAnsi="MS Reference Sans Serif"/>
          <w:color w:val="000000"/>
          <w:sz w:val="20"/>
          <w:szCs w:val="20"/>
          <w:shd w:val="clear" w:color="auto" w:fill="FFFFFF"/>
        </w:rPr>
        <w:t xml:space="preserve">Уравнение </w:t>
      </w:r>
      <w:proofErr w:type="spellStart"/>
      <w:r w:rsidRPr="00A10100">
        <w:rPr>
          <w:rFonts w:ascii="MS Reference Sans Serif" w:hAnsi="MS Reference Sans Serif"/>
          <w:color w:val="000000"/>
          <w:sz w:val="20"/>
          <w:szCs w:val="20"/>
          <w:shd w:val="clear" w:color="auto" w:fill="FFFFFF"/>
        </w:rPr>
        <w:t>Менделеева-Клапейрона</w:t>
      </w:r>
      <w:proofErr w:type="spellEnd"/>
      <w:r w:rsidRPr="00A10100">
        <w:rPr>
          <w:rFonts w:ascii="MS Reference Sans Serif" w:hAnsi="MS Reference Sans Serif"/>
          <w:color w:val="000000"/>
          <w:sz w:val="20"/>
          <w:szCs w:val="20"/>
          <w:shd w:val="clear" w:color="auto" w:fill="FFFFFF"/>
        </w:rPr>
        <w:t>, оно же уравнение состояния идеального газа: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noProof/>
          <w:sz w:val="20"/>
          <w:szCs w:val="20"/>
          <w:lang w:eastAsia="ru-RU"/>
        </w:rPr>
        <w:drawing>
          <wp:inline distT="0" distB="0" distL="0" distR="0">
            <wp:extent cx="5940425" cy="2458720"/>
            <wp:effectExtent l="19050" t="0" r="3175" b="0"/>
            <wp:docPr id="2" name="Рисунок 1" descr="м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к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noProof/>
          <w:sz w:val="20"/>
          <w:szCs w:val="20"/>
          <w:lang w:eastAsia="ru-RU"/>
        </w:rPr>
        <w:drawing>
          <wp:inline distT="0" distB="0" distL="0" distR="0">
            <wp:extent cx="1800476" cy="543001"/>
            <wp:effectExtent l="19050" t="0" r="9274" b="0"/>
            <wp:docPr id="3" name="Рисунок 2" descr="менделеев-клайпер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делеев-клайперон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hyperlink r:id="rId6" w:history="1">
        <w:r w:rsidRPr="00A10100">
          <w:rPr>
            <w:rStyle w:val="a5"/>
            <w:rFonts w:ascii="MS Reference Sans Serif" w:hAnsi="MS Reference Sans Serif"/>
            <w:sz w:val="20"/>
            <w:szCs w:val="20"/>
          </w:rPr>
          <w:t>http://fizmat.by/kursy/molekuljarnaja/izoprocess</w:t>
        </w:r>
      </w:hyperlink>
      <w:r w:rsidRPr="00A10100">
        <w:rPr>
          <w:rFonts w:ascii="MS Reference Sans Serif" w:hAnsi="MS Reference Sans Serif"/>
          <w:sz w:val="20"/>
          <w:szCs w:val="20"/>
        </w:rPr>
        <w:t xml:space="preserve"> - про 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изопроцессы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>. Смотреть лучше на сайте.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jc w:val="center"/>
        <w:rPr>
          <w:rFonts w:ascii="MS Reference Sans Serif" w:hAnsi="MS Reference Sans Serif"/>
          <w:b/>
          <w:i/>
          <w:szCs w:val="20"/>
          <w:u w:val="single"/>
        </w:rPr>
      </w:pPr>
      <w:r w:rsidRPr="00A10100">
        <w:rPr>
          <w:rFonts w:ascii="MS Reference Sans Serif" w:hAnsi="MS Reference Sans Serif"/>
          <w:b/>
          <w:i/>
          <w:szCs w:val="20"/>
          <w:u w:val="single"/>
        </w:rPr>
        <w:t xml:space="preserve">Изотермический процесс (T = </w:t>
      </w:r>
      <w:proofErr w:type="spellStart"/>
      <w:r w:rsidRPr="00A10100">
        <w:rPr>
          <w:rFonts w:ascii="MS Reference Sans Serif" w:hAnsi="MS Reference Sans Serif"/>
          <w:b/>
          <w:i/>
          <w:szCs w:val="20"/>
          <w:u w:val="single"/>
        </w:rPr>
        <w:t>const</w:t>
      </w:r>
      <w:proofErr w:type="spellEnd"/>
      <w:r w:rsidRPr="00A10100">
        <w:rPr>
          <w:rFonts w:ascii="MS Reference Sans Serif" w:hAnsi="MS Reference Sans Serif"/>
          <w:b/>
          <w:i/>
          <w:szCs w:val="20"/>
          <w:u w:val="single"/>
        </w:rPr>
        <w:t>)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 xml:space="preserve">Изотермическим процессом называют квазистатический процесс, протекающий при постоянной температуре T. Из уравнения состояния идеального газа следует, что при постоянной температуре T и неизменном количестве вещества ν в сосуде произведение давления 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 xml:space="preserve"> газа на его объем V должно оставаться постоянным: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noProof/>
          <w:sz w:val="20"/>
          <w:szCs w:val="20"/>
          <w:lang w:eastAsia="ru-RU"/>
        </w:rPr>
        <w:drawing>
          <wp:inline distT="0" distB="0" distL="0" distR="0">
            <wp:extent cx="847843" cy="342948"/>
            <wp:effectExtent l="19050" t="0" r="9407" b="0"/>
            <wp:docPr id="4" name="Рисунок 3" descr="изотер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терм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На плоскости (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 xml:space="preserve">, V) изотермические процессы изображаются при различных значениях температуры T семейством гипербол 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 xml:space="preserve"> ~ 1 / V, которые называются изотермами. Так как коэффициент пропорциональности в этом соотношении увеличивается с ростом температуры, изотермы, соответствующие более высоким значениям температуры, располагаются на графике выше изотерм, соответствующих меньшим значениям температуры. Уравнение изотермического процесса было получено из эксперимента английским физиком Р. Бойлем (1662 г.) и независимо французским физиком Э. Мариоттом (1676 г.). Поэтому это уравнение называют законом Бойля–Мариотта.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jc w:val="center"/>
        <w:rPr>
          <w:rFonts w:ascii="MS Reference Sans Serif" w:hAnsi="MS Reference Sans Serif"/>
          <w:b/>
          <w:i/>
          <w:szCs w:val="20"/>
          <w:u w:val="single"/>
        </w:rPr>
      </w:pPr>
      <w:r w:rsidRPr="00A10100">
        <w:rPr>
          <w:rFonts w:ascii="MS Reference Sans Serif" w:hAnsi="MS Reference Sans Serif"/>
          <w:b/>
          <w:i/>
          <w:szCs w:val="20"/>
          <w:u w:val="single"/>
        </w:rPr>
        <w:t xml:space="preserve">Изохорный процесс (V = </w:t>
      </w:r>
      <w:proofErr w:type="spellStart"/>
      <w:r w:rsidRPr="00A10100">
        <w:rPr>
          <w:rFonts w:ascii="MS Reference Sans Serif" w:hAnsi="MS Reference Sans Serif"/>
          <w:b/>
          <w:i/>
          <w:szCs w:val="20"/>
          <w:u w:val="single"/>
        </w:rPr>
        <w:t>const</w:t>
      </w:r>
      <w:proofErr w:type="spellEnd"/>
      <w:r w:rsidRPr="00A10100">
        <w:rPr>
          <w:rFonts w:ascii="MS Reference Sans Serif" w:hAnsi="MS Reference Sans Serif"/>
          <w:b/>
          <w:i/>
          <w:szCs w:val="20"/>
          <w:u w:val="single"/>
        </w:rPr>
        <w:t>)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Изохорный процесс – это процесс квазистатического нагревания или охлаждения газа при постоянном объеме V и при условии, что количество вещества ν в сосуде остается неизменным.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/>
          <w:sz w:val="20"/>
          <w:szCs w:val="20"/>
        </w:rPr>
      </w:pPr>
      <w:r w:rsidRPr="00A10100">
        <w:rPr>
          <w:rFonts w:ascii="MS Reference Sans Serif" w:hAnsi="MS Reference Sans Serif"/>
          <w:sz w:val="20"/>
          <w:szCs w:val="20"/>
        </w:rPr>
        <w:t>Как следует из уравнения</w:t>
      </w:r>
      <w:proofErr w:type="gramStart"/>
      <w:r w:rsidRPr="00A10100">
        <w:rPr>
          <w:rFonts w:ascii="MS Reference Sans Serif" w:hAnsi="MS Reference Sans Serif"/>
          <w:sz w:val="20"/>
          <w:szCs w:val="20"/>
        </w:rPr>
        <w:t xml:space="preserve"> (*) </w:t>
      </w:r>
      <w:proofErr w:type="gramEnd"/>
      <w:r w:rsidRPr="00A10100">
        <w:rPr>
          <w:rFonts w:ascii="MS Reference Sans Serif" w:hAnsi="MS Reference Sans Serif"/>
          <w:sz w:val="20"/>
          <w:szCs w:val="20"/>
        </w:rPr>
        <w:t xml:space="preserve">состояния идеального газа, при этих условиях давление газа 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 xml:space="preserve"> изменяется прямо пропорционально его абсолютной температуре: 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 xml:space="preserve"> ~ T или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/>
          <w:noProof/>
          <w:sz w:val="20"/>
          <w:szCs w:val="20"/>
          <w:lang w:eastAsia="ru-RU"/>
        </w:rPr>
        <w:drawing>
          <wp:inline distT="0" distB="0" distL="0" distR="0">
            <wp:extent cx="800212" cy="590632"/>
            <wp:effectExtent l="19050" t="0" r="0" b="0"/>
            <wp:docPr id="5" name="Рисунок 4" descr="изохор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хорн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 xml:space="preserve"> 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На плоскости (</w:t>
      </w:r>
      <w:proofErr w:type="spellStart"/>
      <w:r w:rsidRPr="00A10100">
        <w:rPr>
          <w:rStyle w:val="m"/>
          <w:rFonts w:ascii="MS Reference Sans Serif" w:hAnsi="MS Reference Sans Serif"/>
          <w:i/>
          <w:iCs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/>
          <w:sz w:val="20"/>
          <w:szCs w:val="20"/>
        </w:rPr>
        <w:t>, </w:t>
      </w:r>
      <w:r w:rsidRPr="00A10100">
        <w:rPr>
          <w:rStyle w:val="m"/>
          <w:rFonts w:ascii="MS Reference Sans Serif" w:hAnsi="MS Reference Sans Serif"/>
          <w:i/>
          <w:iCs/>
          <w:sz w:val="20"/>
          <w:szCs w:val="20"/>
        </w:rPr>
        <w:t>T</w:t>
      </w: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) изохорные процессы для заданного количества вещества</w:t>
      </w:r>
      <w:r w:rsidRPr="00A10100">
        <w:rPr>
          <w:rStyle w:val="apple-converted-space"/>
          <w:rFonts w:ascii="MS Reference Sans Serif" w:hAnsi="MS Reference Sans Serif" w:cs="Times"/>
          <w:color w:val="000000"/>
          <w:sz w:val="20"/>
          <w:szCs w:val="20"/>
        </w:rPr>
        <w:t> </w:t>
      </w:r>
      <w:proofErr w:type="spellStart"/>
      <w:r w:rsidRPr="00A10100">
        <w:rPr>
          <w:rFonts w:ascii="MS Reference Sans Serif" w:hAnsi="MS Reference Sans Serif"/>
          <w:sz w:val="20"/>
          <w:szCs w:val="20"/>
        </w:rPr>
        <w:t>ν</w:t>
      </w:r>
      <w:proofErr w:type="spellEnd"/>
      <w:r w:rsidRPr="00A10100">
        <w:rPr>
          <w:rStyle w:val="apple-converted-space"/>
          <w:rFonts w:ascii="MS Reference Sans Serif" w:hAnsi="MS Reference Sans Serif" w:cs="Times"/>
          <w:color w:val="000000"/>
          <w:sz w:val="20"/>
          <w:szCs w:val="20"/>
        </w:rPr>
        <w:t> </w:t>
      </w: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при различных значениях объема</w:t>
      </w:r>
      <w:r w:rsidRPr="00A10100">
        <w:rPr>
          <w:rStyle w:val="apple-converted-space"/>
          <w:rFonts w:ascii="MS Reference Sans Serif" w:hAnsi="MS Reference Sans Serif" w:cs="Times"/>
          <w:color w:val="000000"/>
          <w:sz w:val="20"/>
          <w:szCs w:val="20"/>
        </w:rPr>
        <w:t> </w:t>
      </w:r>
      <w:r w:rsidRPr="00A10100">
        <w:rPr>
          <w:rStyle w:val="m"/>
          <w:rFonts w:ascii="MS Reference Sans Serif" w:hAnsi="MS Reference Sans Serif"/>
          <w:i/>
          <w:iCs/>
          <w:sz w:val="20"/>
          <w:szCs w:val="20"/>
        </w:rPr>
        <w:t>V</w:t>
      </w:r>
      <w:r w:rsidRPr="00A10100">
        <w:rPr>
          <w:rStyle w:val="apple-converted-space"/>
          <w:rFonts w:ascii="MS Reference Sans Serif" w:hAnsi="MS Reference Sans Serif" w:cs="Times"/>
          <w:color w:val="000000"/>
          <w:sz w:val="20"/>
          <w:szCs w:val="20"/>
        </w:rPr>
        <w:t> </w:t>
      </w: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изображаются семейством прямых линий, которые называются</w:t>
      </w:r>
      <w:r w:rsidRPr="00A10100">
        <w:rPr>
          <w:rStyle w:val="apple-converted-space"/>
          <w:rFonts w:ascii="MS Reference Sans Serif" w:hAnsi="MS Reference Sans Serif" w:cs="Times"/>
          <w:color w:val="000000"/>
          <w:sz w:val="20"/>
          <w:szCs w:val="20"/>
        </w:rPr>
        <w:t> </w:t>
      </w:r>
      <w:r w:rsidRPr="00A10100">
        <w:rPr>
          <w:rStyle w:val="em"/>
          <w:rFonts w:ascii="MS Reference Sans Serif" w:hAnsi="MS Reference Sans Serif" w:cs="Times"/>
          <w:b/>
          <w:bCs/>
          <w:color w:val="000000"/>
          <w:sz w:val="20"/>
          <w:szCs w:val="20"/>
        </w:rPr>
        <w:t>изохорами</w:t>
      </w: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. Большим значениям объема соответствуют изохоры с меньшим наклоном по отношению к оси температур.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Экспериментально зависимость давления газа от температуры исследовал французский физик Ж. Шарль (1787 г.). Поэтому уравнение изохорного процесса называется законом Шарля.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Уравнение изохорного процесса может быть записано в виде: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1267002" cy="790685"/>
            <wp:effectExtent l="19050" t="0" r="9348" b="0"/>
            <wp:docPr id="6" name="Рисунок 5" descr="изохор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хорн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где p0 – давление газа при T = T0 = 273,15</w:t>
      </w:r>
      <w:proofErr w:type="gramStart"/>
      <w:r w:rsidRPr="00A10100">
        <w:rPr>
          <w:rFonts w:ascii="MS Reference Sans Serif" w:hAnsi="MS Reference Sans Serif" w:cs="Times"/>
          <w:color w:val="000000"/>
          <w:sz w:val="20"/>
          <w:szCs w:val="20"/>
        </w:rPr>
        <w:t xml:space="preserve"> К</w:t>
      </w:r>
      <w:proofErr w:type="gramEnd"/>
      <w:r w:rsidRPr="00A10100">
        <w:rPr>
          <w:rFonts w:ascii="MS Reference Sans Serif" w:hAnsi="MS Reference Sans Serif" w:cs="Times"/>
          <w:color w:val="000000"/>
          <w:sz w:val="20"/>
          <w:szCs w:val="20"/>
        </w:rPr>
        <w:t xml:space="preserve"> (т. е. при температуре 0 °С). Коэффициент α, равный (1/273,15) К–1, называют температурным коэффициентом давления.</w:t>
      </w:r>
    </w:p>
    <w:p w:rsidR="00A10100" w:rsidRPr="00A10100" w:rsidRDefault="00A10100" w:rsidP="00A10100">
      <w:pPr>
        <w:spacing w:after="0" w:line="360" w:lineRule="auto"/>
        <w:ind w:right="57"/>
        <w:jc w:val="center"/>
        <w:rPr>
          <w:rFonts w:ascii="MS Reference Sans Serif" w:hAnsi="MS Reference Sans Serif" w:cs="Times"/>
          <w:b/>
          <w:i/>
          <w:color w:val="000000"/>
          <w:szCs w:val="20"/>
          <w:u w:val="single"/>
        </w:rPr>
      </w:pPr>
      <w:r w:rsidRPr="00A10100">
        <w:rPr>
          <w:rFonts w:ascii="MS Reference Sans Serif" w:hAnsi="MS Reference Sans Serif" w:cs="Times"/>
          <w:b/>
          <w:i/>
          <w:color w:val="000000"/>
          <w:szCs w:val="20"/>
          <w:u w:val="single"/>
        </w:rPr>
        <w:t>Изобарный процесс (</w:t>
      </w:r>
      <w:proofErr w:type="spellStart"/>
      <w:r w:rsidRPr="00A10100">
        <w:rPr>
          <w:rFonts w:ascii="MS Reference Sans Serif" w:hAnsi="MS Reference Sans Serif" w:cs="Times"/>
          <w:b/>
          <w:i/>
          <w:color w:val="000000"/>
          <w:szCs w:val="20"/>
          <w:u w:val="single"/>
        </w:rPr>
        <w:t>p</w:t>
      </w:r>
      <w:proofErr w:type="spellEnd"/>
      <w:r w:rsidRPr="00A10100">
        <w:rPr>
          <w:rFonts w:ascii="MS Reference Sans Serif" w:hAnsi="MS Reference Sans Serif" w:cs="Times"/>
          <w:b/>
          <w:i/>
          <w:color w:val="000000"/>
          <w:szCs w:val="20"/>
          <w:u w:val="single"/>
        </w:rPr>
        <w:t xml:space="preserve"> = </w:t>
      </w:r>
      <w:proofErr w:type="spellStart"/>
      <w:r w:rsidRPr="00A10100">
        <w:rPr>
          <w:rFonts w:ascii="MS Reference Sans Serif" w:hAnsi="MS Reference Sans Serif" w:cs="Times"/>
          <w:b/>
          <w:i/>
          <w:color w:val="000000"/>
          <w:szCs w:val="20"/>
          <w:u w:val="single"/>
        </w:rPr>
        <w:t>const</w:t>
      </w:r>
      <w:proofErr w:type="spellEnd"/>
      <w:r w:rsidRPr="00A10100">
        <w:rPr>
          <w:rFonts w:ascii="MS Reference Sans Serif" w:hAnsi="MS Reference Sans Serif" w:cs="Times"/>
          <w:b/>
          <w:i/>
          <w:color w:val="000000"/>
          <w:szCs w:val="20"/>
          <w:u w:val="single"/>
        </w:rPr>
        <w:t>)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proofErr w:type="gramStart"/>
      <w:r w:rsidRPr="00A10100">
        <w:rPr>
          <w:rFonts w:ascii="MS Reference Sans Serif" w:hAnsi="MS Reference Sans Serif" w:cs="Times"/>
          <w:color w:val="000000"/>
          <w:sz w:val="20"/>
          <w:szCs w:val="20"/>
        </w:rPr>
        <w:t xml:space="preserve">Изобарным процессом называют квазистатический процесс, протекающий при неизменным давлении </w:t>
      </w:r>
      <w:proofErr w:type="spellStart"/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p</w:t>
      </w:r>
      <w:proofErr w:type="spellEnd"/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.</w:t>
      </w:r>
      <w:proofErr w:type="gramEnd"/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Уравнение изобарного процесса для некоторого неизменного количества вещества ν имеет вид: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781424" cy="600159"/>
            <wp:effectExtent l="19050" t="0" r="9276" b="0"/>
            <wp:docPr id="7" name="Рисунок 6" descr="изобар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арн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где V0 – объем газа при температуре 0 °С. Коэффициент α равен (1/273,15) К–1. Его называют температурным коэффициентом объемного расширения газов.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Зависимость объема газа от температуры при неизменном давлении была экспериментально исследована французским физиком Ж. Гей-Люссаком (1862 г.). Поэтому уравнение изобарного процесса называют законом Гей-Люссака.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>Экспериментально установленные законы Бойля–Мариотта, Шарля и Гей-Люссака находят объяснение в молекулярно-кинетической теории газов. Они являются следствием уравнения состояния идеального газа.</w:t>
      </w: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  <w:r w:rsidRPr="00A10100">
        <w:rPr>
          <w:rFonts w:ascii="MS Reference Sans Serif" w:hAnsi="MS Reference Sans Serif" w:cs="Times"/>
          <w:color w:val="000000"/>
          <w:sz w:val="20"/>
          <w:szCs w:val="20"/>
        </w:rPr>
        <w:t xml:space="preserve">Источник (на всякий случай): </w:t>
      </w:r>
      <w:hyperlink r:id="rId11" w:history="1">
        <w:r w:rsidRPr="00A10100">
          <w:rPr>
            <w:rStyle w:val="a5"/>
            <w:rFonts w:ascii="MS Reference Sans Serif" w:hAnsi="MS Reference Sans Serif" w:cs="Times"/>
            <w:sz w:val="20"/>
            <w:szCs w:val="20"/>
          </w:rPr>
          <w:t>http://www.physics.ru/courses/op25part1/content/chapter3/section/paragraph3/theory.html#.VLf7wCusVBd</w:t>
        </w:r>
      </w:hyperlink>
    </w:p>
    <w:p w:rsidR="00A10100" w:rsidRPr="00A10100" w:rsidRDefault="00A10100" w:rsidP="00A10100">
      <w:pPr>
        <w:spacing w:after="0" w:line="360" w:lineRule="auto"/>
        <w:ind w:right="57"/>
        <w:rPr>
          <w:rFonts w:ascii="MS Reference Sans Serif" w:hAnsi="MS Reference Sans Serif" w:cs="Times"/>
          <w:color w:val="000000"/>
          <w:sz w:val="20"/>
          <w:szCs w:val="20"/>
        </w:rPr>
      </w:pPr>
    </w:p>
    <w:sectPr w:rsidR="00A10100" w:rsidRPr="00A10100" w:rsidSect="00CA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660B"/>
    <w:rsid w:val="00A10100"/>
    <w:rsid w:val="00CA0F4B"/>
    <w:rsid w:val="00E1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1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10100"/>
  </w:style>
  <w:style w:type="character" w:styleId="a5">
    <w:name w:val="Hyperlink"/>
    <w:basedOn w:val="a0"/>
    <w:uiPriority w:val="99"/>
    <w:unhideWhenUsed/>
    <w:rsid w:val="00A10100"/>
    <w:rPr>
      <w:color w:val="0000FF" w:themeColor="hyperlink"/>
      <w:u w:val="single"/>
    </w:rPr>
  </w:style>
  <w:style w:type="character" w:customStyle="1" w:styleId="m">
    <w:name w:val="m"/>
    <w:basedOn w:val="a0"/>
    <w:rsid w:val="00A10100"/>
  </w:style>
  <w:style w:type="character" w:customStyle="1" w:styleId="em">
    <w:name w:val="em"/>
    <w:basedOn w:val="a0"/>
    <w:rsid w:val="00A101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zmat.by/kursy/molekuljarnaja/izoprocess" TargetMode="External"/><Relationship Id="rId11" Type="http://schemas.openxmlformats.org/officeDocument/2006/relationships/hyperlink" Target="http://www.physics.ru/courses/op25part1/content/chapter3/section/paragraph3/theory.html#.VLf7wCusVBd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2015-01-15T17:24:00Z</dcterms:created>
  <dcterms:modified xsi:type="dcterms:W3CDTF">2015-01-15T17:49:00Z</dcterms:modified>
</cp:coreProperties>
</file>