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09" w:rsidRPr="008269EE" w:rsidRDefault="008269EE" w:rsidP="008269EE">
      <w:r w:rsidRPr="008269EE">
        <w:t xml:space="preserve">12 </w:t>
      </w:r>
      <w:r w:rsidRPr="008269EE">
        <w:rPr>
          <w:b/>
          <w:bCs/>
          <w:color w:val="000000" w:themeColor="text1"/>
        </w:rPr>
        <w:t>ВЗАИМОДЕЙСТВИЕ ВОЛН</w:t>
      </w:r>
      <w:r w:rsidRPr="008269EE">
        <w:rPr>
          <w:color w:val="000000" w:themeColor="text1"/>
        </w:rPr>
        <w:t> - воздействие волн друг на друга, приводящее к изменению их волновых характеристик (амплитуд, частот </w:t>
      </w:r>
      <w:r w:rsidRPr="008269EE">
        <w:rPr>
          <w:color w:val="000000" w:themeColor="text1"/>
        </w:rPr>
        <w:drawing>
          <wp:inline distT="0" distB="0" distL="0" distR="0" wp14:anchorId="482459EB" wp14:editId="359A5A5F">
            <wp:extent cx="200025" cy="161925"/>
            <wp:effectExtent l="0" t="0" r="9525" b="9525"/>
            <wp:docPr id="3" name="Рисунок 3" descr="1119914-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9914-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9EE">
        <w:rPr>
          <w:color w:val="000000" w:themeColor="text1"/>
        </w:rPr>
        <w:t>, волновых векторов</w:t>
      </w:r>
      <w:r w:rsidRPr="008269EE">
        <w:rPr>
          <w:color w:val="000000" w:themeColor="text1"/>
        </w:rPr>
        <w:drawing>
          <wp:inline distT="0" distB="0" distL="0" distR="0" wp14:anchorId="7D89CBB8" wp14:editId="2A59508D">
            <wp:extent cx="171450" cy="180975"/>
            <wp:effectExtent l="0" t="0" r="0" b="9525"/>
            <wp:docPr id="2" name="Рисунок 2" descr="1119914-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9914-6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9EE">
        <w:rPr>
          <w:color w:val="000000" w:themeColor="text1"/>
        </w:rPr>
        <w:t>, </w:t>
      </w:r>
      <w:hyperlink r:id="rId7" w:tooltip="Поляризация" w:history="1">
        <w:r w:rsidRPr="008269EE">
          <w:rPr>
            <w:rStyle w:val="a3"/>
            <w:color w:val="000000" w:themeColor="text1"/>
            <w:u w:val="none"/>
          </w:rPr>
          <w:t>поляризации</w:t>
        </w:r>
      </w:hyperlink>
      <w:r w:rsidRPr="008269EE">
        <w:rPr>
          <w:color w:val="000000" w:themeColor="text1"/>
        </w:rPr>
        <w:t>). В. в. основано на пространственно-</w:t>
      </w:r>
      <w:proofErr w:type="spellStart"/>
      <w:r w:rsidRPr="008269EE">
        <w:rPr>
          <w:color w:val="000000" w:themeColor="text1"/>
        </w:rPr>
        <w:t>временном</w:t>
      </w:r>
      <w:hyperlink r:id="rId8" w:tooltip="Резонанс" w:history="1">
        <w:r w:rsidRPr="008269EE">
          <w:rPr>
            <w:rStyle w:val="a3"/>
            <w:color w:val="000000" w:themeColor="text1"/>
            <w:u w:val="none"/>
          </w:rPr>
          <w:t>резонансе</w:t>
        </w:r>
        <w:proofErr w:type="spellEnd"/>
      </w:hyperlink>
      <w:r w:rsidRPr="008269EE">
        <w:rPr>
          <w:color w:val="000000" w:themeColor="text1"/>
        </w:rPr>
        <w:t> волн, условия к-</w:t>
      </w:r>
      <w:proofErr w:type="spellStart"/>
      <w:r w:rsidRPr="008269EE">
        <w:rPr>
          <w:color w:val="000000" w:themeColor="text1"/>
        </w:rPr>
        <w:t>рого</w:t>
      </w:r>
      <w:proofErr w:type="spellEnd"/>
      <w:r w:rsidRPr="008269EE">
        <w:rPr>
          <w:color w:val="000000" w:themeColor="text1"/>
        </w:rPr>
        <w:t xml:space="preserve"> имеют вид: </w:t>
      </w:r>
      <w:r w:rsidRPr="008269EE">
        <w:rPr>
          <w:color w:val="000000" w:themeColor="text1"/>
        </w:rPr>
        <w:drawing>
          <wp:inline distT="0" distB="0" distL="0" distR="0" wp14:anchorId="3F73EAB1" wp14:editId="5CFF6E5A">
            <wp:extent cx="1438275" cy="285750"/>
            <wp:effectExtent l="0" t="0" r="9525" b="0"/>
            <wp:docPr id="1" name="Рисунок 1" descr="1119914-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9914-6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9EE">
        <w:rPr>
          <w:color w:val="000000" w:themeColor="text1"/>
        </w:rPr>
        <w:t> (см. </w:t>
      </w:r>
      <w:hyperlink r:id="rId10" w:history="1">
        <w:r w:rsidRPr="008269EE">
          <w:rPr>
            <w:rStyle w:val="a3"/>
            <w:color w:val="000000" w:themeColor="text1"/>
            <w:u w:val="none"/>
          </w:rPr>
          <w:t>Синхронизм</w:t>
        </w:r>
      </w:hyperlink>
      <w:r w:rsidRPr="008269EE">
        <w:rPr>
          <w:color w:val="000000" w:themeColor="text1"/>
        </w:rPr>
        <w:t> )</w:t>
      </w:r>
      <w:proofErr w:type="gramStart"/>
      <w:r w:rsidRPr="008269EE">
        <w:rPr>
          <w:color w:val="000000" w:themeColor="text1"/>
        </w:rPr>
        <w:t>.В</w:t>
      </w:r>
      <w:proofErr w:type="gramEnd"/>
      <w:r w:rsidRPr="008269EE">
        <w:rPr>
          <w:color w:val="000000" w:themeColor="text1"/>
        </w:rPr>
        <w:t>. в. возникает в средах нелинейных, для линейных сред справедлив </w:t>
      </w:r>
      <w:hyperlink r:id="rId11" w:tooltip="Принцип суперпозиции" w:history="1">
        <w:r w:rsidRPr="008269EE">
          <w:rPr>
            <w:rStyle w:val="a3"/>
            <w:color w:val="000000" w:themeColor="text1"/>
            <w:u w:val="none"/>
          </w:rPr>
          <w:t>принцип суперпозиции</w:t>
        </w:r>
      </w:hyperlink>
      <w:r w:rsidRPr="008269EE">
        <w:rPr>
          <w:color w:val="000000" w:themeColor="text1"/>
        </w:rPr>
        <w:t xml:space="preserve">. Однако в неоднородных анизотропных средах возможно не нарушающее принцип суперпозиции т. н. линейное взаимодействие различно </w:t>
      </w:r>
      <w:proofErr w:type="spellStart"/>
      <w:r w:rsidRPr="008269EE">
        <w:rPr>
          <w:color w:val="000000" w:themeColor="text1"/>
        </w:rPr>
        <w:t>поляризов</w:t>
      </w:r>
      <w:proofErr w:type="spellEnd"/>
      <w:r w:rsidRPr="008269EE">
        <w:rPr>
          <w:color w:val="000000" w:themeColor="text1"/>
        </w:rPr>
        <w:t>. волн, приводящее к перераспределению энергии между.</w:t>
      </w:r>
      <w:r w:rsidRPr="008269EE">
        <w:rPr>
          <w:color w:val="000000" w:themeColor="text1"/>
        </w:rPr>
        <w:br/>
      </w:r>
      <w:r w:rsidRPr="008269EE">
        <w:rPr>
          <w:b/>
        </w:rPr>
        <w:t>Взаимодействие частиц</w:t>
      </w:r>
      <w:r w:rsidRPr="008269EE">
        <w:t xml:space="preserve"> -</w:t>
      </w:r>
      <w:r>
        <w:t xml:space="preserve"> Реакции между частицами приводят к образованию новых частиц в результате всех трех типов взаимодействия – сильного, электромагнитного и слабого. Вероятности образования различных частиц определяются законами сохранения и константами взаимодействий. С наибольшими сечениями (σ ~1 </w:t>
      </w:r>
      <w:proofErr w:type="spellStart"/>
      <w:r>
        <w:t>барн</w:t>
      </w:r>
      <w:proofErr w:type="spellEnd"/>
      <w:r>
        <w:t xml:space="preserve">) образуются частицы в результате сильного взаимодействия, сечение электромагнитных взаимодействий  имеет характерные величины на два порядка меньше. Характерные величины сечений слабого взаимодействия ~10-19 </w:t>
      </w:r>
      <w:proofErr w:type="spellStart"/>
      <w:r>
        <w:t>барн</w:t>
      </w:r>
      <w:proofErr w:type="spellEnd"/>
      <w:r>
        <w:t>. При этом необходимо помнить, что сечение взаимодействия частиц зависит от энергии сталкивающихся частиц.</w:t>
      </w:r>
      <w:bookmarkStart w:id="0" w:name="_GoBack"/>
      <w:bookmarkEnd w:id="0"/>
    </w:p>
    <w:sectPr w:rsidR="00411809" w:rsidRPr="00826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79"/>
    <w:rsid w:val="00411809"/>
    <w:rsid w:val="008269EE"/>
    <w:rsid w:val="00AE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9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6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9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6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mto.com.ua/articles/part_2/335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emto.com.ua/articles/part_2/3001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femto.com.ua/articles/part_2/3956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femto.com.ua/articles/part_2/365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1258</Characters>
  <Application>Microsoft Office Word</Application>
  <DocSecurity>0</DocSecurity>
  <Lines>10</Lines>
  <Paragraphs>2</Paragraphs>
  <ScaleCrop>false</ScaleCrop>
  <Company>diakov.net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2015-01-20T20:53:00Z</dcterms:created>
  <dcterms:modified xsi:type="dcterms:W3CDTF">2015-01-20T21:01:00Z</dcterms:modified>
</cp:coreProperties>
</file>