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gif" ContentType="image/gif"/>
  <Override PartName="/word/media/image6.gif" ContentType="image/gif"/>
  <Override PartName="/word/media/image5.gif" ContentType="image/gif"/>
  <Override PartName="/word/media/image4.gif" ContentType="image/gif"/>
  <Override PartName="/word/media/image3.gif" ContentType="image/gif"/>
  <Override PartName="/word/media/image2.gif" ContentType="image/gif"/>
  <Override PartName="/word/media/image1.gif" ContentType="image/gif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i/>
          <w:sz w:val="32"/>
        </w:rPr>
        <w:t>Билет №</w:t>
      </w:r>
      <w:r>
        <w:rPr>
          <w:b/>
          <w:i/>
          <w:sz w:val="32"/>
        </w:rPr>
        <w:t>24</w:t>
      </w:r>
    </w:p>
    <w:p>
      <w:pPr>
        <w:pStyle w:val="Style22"/>
        <w:numPr>
          <w:ilvl w:val="0"/>
          <w:numId w:val="1"/>
        </w:numPr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Явление электромагнитной индукции. Закон Фарадея и правило Ленца. Явления самоиндукции и взаимной индукции.</w:t>
      </w:r>
    </w:p>
    <w:p>
      <w:pPr>
        <w:pStyle w:val="Normal"/>
        <w:rPr>
          <w:rFonts w:ascii="Arabic Typesetting" w:hAnsi="Arabic Typesetting" w:cs="Arabic Typesetting"/>
          <w:color w:val="000000"/>
          <w:sz w:val="24"/>
          <w:szCs w:val="24"/>
          <w:shd w:fill="FFFFFF" w:val="clear"/>
        </w:rPr>
      </w:pPr>
      <w:r>
        <w:rPr>
          <w:rFonts w:cs="Calibri"/>
          <w:color w:val="000000" w:themeColor="text1"/>
          <w:sz w:val="24"/>
          <w:szCs w:val="24"/>
          <w:shd w:fill="FFFFFF" w:val="clear"/>
        </w:rPr>
        <w:t xml:space="preserve">Это </w:t>
      </w:r>
      <w:r>
        <w:rPr>
          <w:rFonts w:cs="Cambria" w:ascii="Cambria" w:hAnsi="Cambria"/>
          <w:color w:val="000000" w:themeColor="text1"/>
          <w:sz w:val="24"/>
          <w:szCs w:val="24"/>
          <w:shd w:fill="FFFFFF" w:val="clear"/>
        </w:rPr>
        <w:t>явление возникновения индукционного тока в замкнутом проводнике под действием изменяющегося магнитного поля</w:t>
      </w:r>
      <w:r>
        <w:rPr>
          <w:rFonts w:cs="Arabic Typesetting" w:ascii="Arabic Typesetting" w:hAnsi="Arabic Typesetting"/>
          <w:color w:val="000000" w:themeColor="text1"/>
          <w:sz w:val="24"/>
          <w:szCs w:val="24"/>
          <w:shd w:fill="FFFFFF" w:val="clear"/>
        </w:rPr>
        <w:t>.</w:t>
      </w:r>
    </w:p>
    <w:p>
      <w:pPr>
        <w:pStyle w:val="Normal"/>
        <w:rPr>
          <w:rFonts w:ascii="Arabic Typesetting" w:hAnsi="Arabic Typesetting" w:cs="Arabic Typesetting"/>
          <w:color w:val="000000"/>
          <w:sz w:val="24"/>
          <w:szCs w:val="24"/>
        </w:rPr>
      </w:pP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Обобщая результаты своих многочисленных опытов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Фарадей пришел к количественному закону электромагнитной ин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softHyphen/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дукции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.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Он показал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что всякий раз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когда происходит изменение сцепленного с контуром потока магнитной индукции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в контуре возникает индукционный ток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;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возникновениеиндукционноготокауказываетнаналичиевцепиэлектродвижущейсилы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называемой</w:t>
      </w:r>
      <w:r>
        <w:rPr>
          <w:rStyle w:val="Appleconvertedspace"/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> </w:t>
      </w:r>
      <w:r>
        <w:rPr>
          <w:rFonts w:cs="Cambria" w:ascii="Cambria" w:hAnsi="Cambria"/>
          <w:bCs/>
          <w:iCs/>
          <w:color w:val="000000"/>
          <w:sz w:val="24"/>
          <w:szCs w:val="24"/>
          <w:shd w:fill="FFFFFF" w:val="clear"/>
        </w:rPr>
        <w:t>электродвижущей силой электромагнитной индукции</w:t>
      </w:r>
      <w:r>
        <w:rPr>
          <w:rFonts w:cs="Arabic Typesetting" w:ascii="Arabic Typesetting" w:hAnsi="Arabic Typesetting"/>
          <w:bCs/>
          <w:color w:val="000000"/>
          <w:sz w:val="24"/>
          <w:szCs w:val="24"/>
          <w:shd w:fill="FFFFFF" w:val="clear"/>
        </w:rPr>
        <w:t>.</w:t>
      </w:r>
      <w:r>
        <w:rPr>
          <w:rStyle w:val="Appleconvertedspace"/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> 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Значение индукционного тока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а следовательно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и Э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.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Д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.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С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.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электромагнитной индукции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определяются только скоростью изменения магнитного потока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т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.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е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>.</w:t>
      </w:r>
      <w:r>
        <w:rPr>
          <w:rFonts w:cs="Arabic Typesetting" w:ascii="Arabic Typesetting" w:hAnsi="Arabic Typesetting"/>
          <w:color w:val="000000"/>
          <w:sz w:val="24"/>
          <w:szCs w:val="24"/>
        </w:rPr>
        <w:br/>
        <w:br/>
      </w:r>
      <w:r>
        <w:rPr>
          <w:rFonts w:cs="Arabic Typesetting" w:ascii="Arabic Typesetting" w:hAnsi="Arabic Typesetting"/>
          <w:color w:val="000000"/>
          <w:sz w:val="24"/>
          <w:szCs w:val="24"/>
        </w:rPr>
        <w:drawing>
          <wp:inline distT="0" distB="0" distL="0" distR="0">
            <wp:extent cx="829310" cy="544830"/>
            <wp:effectExtent l="0" t="0" r="0" b="0"/>
            <wp:docPr id="1" name="Рисунок 14" descr="http://sov.opredelim.com/tw_files2/urls_1381/2/d-1202/7z-docs/12_html_m7f7bd4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 descr="http://sov.opredelim.com/tw_files2/urls_1381/2/d-1202/7z-docs/12_html_m7f7bd470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>.</w:t>
      </w:r>
      <w:r>
        <w:rPr>
          <w:rFonts w:cs="Arabic Typesetting" w:ascii="Arabic Typesetting" w:hAnsi="Arabic Typesetting"/>
          <w:color w:val="000000"/>
          <w:sz w:val="24"/>
          <w:szCs w:val="24"/>
        </w:rPr>
        <w:br/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Теперь необходимо выяснить знак</w:t>
      </w:r>
      <w:r>
        <w:rPr>
          <w:rStyle w:val="Appleconvertedspace"/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> </w:t>
      </w:r>
      <w:r>
        <w:rPr>
          <w:rStyle w:val="Appleconvertedspace"/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drawing>
          <wp:inline distT="0" distB="0" distL="0" distR="0">
            <wp:extent cx="387350" cy="404495"/>
            <wp:effectExtent l="0" t="0" r="0" b="0"/>
            <wp:docPr id="2" name="Рисунок 13" descr="http://sov.opredelim.com/tw_files2/urls_1381/2/d-1202/7z-docs/12_html_130238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 descr="http://sov.opredelim.com/tw_files2/urls_1381/2/d-1202/7z-docs/12_html_13023830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abic Typesetting" w:ascii="Arabic Typesetting" w:hAnsi="Arabic Typesetting"/>
          <w:i/>
          <w:iCs/>
          <w:color w:val="000000"/>
          <w:sz w:val="24"/>
          <w:szCs w:val="24"/>
          <w:shd w:fill="FFFFFF" w:val="clear"/>
        </w:rPr>
        <w:t>.</w:t>
      </w:r>
      <w:r>
        <w:rPr>
          <w:rStyle w:val="Appleconvertedspace"/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> 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Известно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что знак магнитного потока зависит от выбора положительной нормали к контуру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.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В свою очередь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положительное направление нормали связано с током правилом правого винта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.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Следовательно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выбирая определенное положительное направление нор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softHyphen/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мали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мы определяем как знак потока магнитной индукции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так и направление тока и ЭДС в контуре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.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Пользуясь этими представлениями и выводами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можно соответственно прийти к формулировке закона электромагнитной индукции Фарадея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>:</w:t>
      </w:r>
      <w:r>
        <w:rPr>
          <w:rStyle w:val="Appleconvertedspace"/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> </w:t>
      </w:r>
      <w:r>
        <w:rPr>
          <w:rFonts w:cs="Cambria" w:ascii="Cambria" w:hAnsi="Cambria"/>
          <w:bCs/>
          <w:iCs/>
          <w:color w:val="000000"/>
          <w:sz w:val="24"/>
          <w:szCs w:val="24"/>
          <w:shd w:fill="FFFFFF" w:val="clear"/>
        </w:rPr>
        <w:t>какова бы ни была причина изменения потока магнитной индукции</w:t>
      </w:r>
      <w:r>
        <w:rPr>
          <w:rFonts w:cs="Arabic Typesetting" w:ascii="Arabic Typesetting" w:hAnsi="Arabic Typesetting"/>
          <w:bCs/>
          <w:iCs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bCs/>
          <w:iCs/>
          <w:color w:val="000000"/>
          <w:sz w:val="24"/>
          <w:szCs w:val="24"/>
          <w:shd w:fill="FFFFFF" w:val="clear"/>
        </w:rPr>
        <w:t>охватываемогозамкнутымпроводящимконтуром</w:t>
      </w:r>
      <w:r>
        <w:rPr>
          <w:rFonts w:cs="Arabic Typesetting" w:ascii="Arabic Typesetting" w:hAnsi="Arabic Typesetting"/>
          <w:bCs/>
          <w:iCs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bCs/>
          <w:iCs/>
          <w:color w:val="000000"/>
          <w:sz w:val="24"/>
          <w:szCs w:val="24"/>
          <w:shd w:fill="FFFFFF" w:val="clear"/>
        </w:rPr>
        <w:t>возникающаявконтуреЭ</w:t>
      </w:r>
      <w:r>
        <w:rPr>
          <w:rFonts w:cs="Arabic Typesetting" w:ascii="Arabic Typesetting" w:hAnsi="Arabic Typesetting"/>
          <w:bCs/>
          <w:iCs/>
          <w:color w:val="000000"/>
          <w:sz w:val="24"/>
          <w:szCs w:val="24"/>
          <w:shd w:fill="FFFFFF" w:val="clear"/>
        </w:rPr>
        <w:t xml:space="preserve">. </w:t>
      </w:r>
      <w:r>
        <w:rPr>
          <w:rFonts w:cs="Cambria" w:ascii="Cambria" w:hAnsi="Cambria"/>
          <w:bCs/>
          <w:iCs/>
          <w:color w:val="000000"/>
          <w:sz w:val="24"/>
          <w:szCs w:val="24"/>
          <w:shd w:fill="FFFFFF" w:val="clear"/>
        </w:rPr>
        <w:t>Д</w:t>
      </w:r>
      <w:r>
        <w:rPr>
          <w:rFonts w:cs="Arabic Typesetting" w:ascii="Arabic Typesetting" w:hAnsi="Arabic Typesetting"/>
          <w:bCs/>
          <w:iCs/>
          <w:color w:val="000000"/>
          <w:sz w:val="24"/>
          <w:szCs w:val="24"/>
          <w:shd w:fill="FFFFFF" w:val="clear"/>
        </w:rPr>
        <w:t xml:space="preserve">. </w:t>
      </w:r>
      <w:r>
        <w:rPr>
          <w:rFonts w:cs="Cambria" w:ascii="Cambria" w:hAnsi="Cambria"/>
          <w:bCs/>
          <w:iCs/>
          <w:color w:val="000000"/>
          <w:sz w:val="24"/>
          <w:szCs w:val="24"/>
          <w:shd w:fill="FFFFFF" w:val="clear"/>
        </w:rPr>
        <w:t>С</w:t>
      </w:r>
      <w:r>
        <w:rPr>
          <w:rFonts w:cs="Arabic Typesetting" w:ascii="Arabic Typesetting" w:hAnsi="Arabic Typesetting"/>
          <w:bCs/>
          <w:iCs/>
          <w:color w:val="000000"/>
          <w:sz w:val="24"/>
          <w:szCs w:val="24"/>
          <w:shd w:fill="FFFFFF" w:val="clear"/>
        </w:rPr>
        <w:t>.</w:t>
      </w:r>
      <w:r>
        <w:rPr>
          <w:rFonts w:cs="Arabic Typesetting" w:ascii="Arabic Typesetting" w:hAnsi="Arabic Typesetting"/>
          <w:color w:val="000000"/>
          <w:sz w:val="24"/>
          <w:szCs w:val="24"/>
        </w:rPr>
        <w:br/>
        <w:br/>
      </w:r>
      <w:r>
        <w:rPr>
          <w:rFonts w:cs="Arabic Typesetting" w:ascii="Arabic Typesetting" w:hAnsi="Arabic Typesetting"/>
          <w:color w:val="000000"/>
          <w:sz w:val="24"/>
          <w:szCs w:val="24"/>
        </w:rPr>
        <w:drawing>
          <wp:inline distT="0" distB="0" distL="0" distR="0">
            <wp:extent cx="74295" cy="172720"/>
            <wp:effectExtent l="0" t="0" r="0" b="0"/>
            <wp:docPr id="3" name="Рисунок 12" descr="http://sov.opredelim.com/tw_files2/urls_1381/2/d-1202/7z-docs/12_html_m53d4ec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 descr="http://sov.opredelim.com/tw_files2/urls_1381/2/d-1202/7z-docs/12_html_m53d4ecad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abic Typesetting" w:ascii="Arabic Typesetting" w:hAnsi="Arabic Typesetting"/>
          <w:color w:val="000000"/>
          <w:sz w:val="24"/>
          <w:szCs w:val="24"/>
        </w:rPr>
        <w:drawing>
          <wp:inline distT="0" distB="0" distL="0" distR="0">
            <wp:extent cx="667385" cy="362585"/>
            <wp:effectExtent l="0" t="0" r="0" b="0"/>
            <wp:docPr id="4" name="Рисунок 11" descr="http://sov.opredelim.com/tw_files2/urls_1381/2/d-1202/7z-docs/12_html_6152cd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http://sov.opredelim.com/tw_files2/urls_1381/2/d-1202/7z-docs/12_html_6152cdca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abic Typesetting"/>
          <w:color w:val="000000" w:themeColor="text1"/>
          <w:sz w:val="24"/>
          <w:szCs w:val="24"/>
          <w:shd w:fill="FFFFFF" w:val="clear"/>
        </w:rPr>
      </w:pP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Знак минус показывает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что увеличение потока</w:t>
      </w:r>
      <w:r>
        <w:rPr>
          <w:rStyle w:val="Appleconvertedspace"/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> </w:t>
      </w:r>
      <w:r>
        <w:rPr>
          <w:rStyle w:val="Appleconvertedspace"/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drawing>
          <wp:inline distT="0" distB="0" distL="0" distR="0">
            <wp:extent cx="724535" cy="461010"/>
            <wp:effectExtent l="0" t="0" r="0" b="0"/>
            <wp:docPr id="5" name="Рисунок 10" descr="http://sov.opredelim.com/tw_files2/urls_1381/2/d-1202/7z-docs/12_html_m40c78e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http://sov.opredelim.com/tw_files2/urls_1381/2/d-1202/7z-docs/12_html_m40c78e97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convertedspace"/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> 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вызывает</w:t>
      </w:r>
      <w:r>
        <w:rPr>
          <w:rStyle w:val="Appleconvertedspace"/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  </w:t>
      </w:r>
      <w:r>
        <w:rPr>
          <w:rFonts w:cs="Cambria" w:ascii="Cambria" w:hAnsi="Cambria"/>
          <w:bCs/>
          <w:color w:val="000000"/>
          <w:sz w:val="24"/>
          <w:szCs w:val="24"/>
          <w:shd w:fill="FFFFFF" w:val="clear"/>
        </w:rPr>
        <w:t>Э</w:t>
      </w:r>
      <w:r>
        <w:rPr>
          <w:rFonts w:cs="Arabic Typesetting" w:ascii="Arabic Typesetting" w:hAnsi="Arabic Typesetting"/>
          <w:bCs/>
          <w:color w:val="000000"/>
          <w:sz w:val="24"/>
          <w:szCs w:val="24"/>
          <w:shd w:fill="FFFFFF" w:val="clear"/>
        </w:rPr>
        <w:t>.</w:t>
      </w:r>
      <w:r>
        <w:rPr>
          <w:rFonts w:cs="Calibri"/>
          <w:bCs/>
          <w:color w:val="000000"/>
          <w:sz w:val="24"/>
          <w:szCs w:val="24"/>
          <w:shd w:fill="FFFFFF" w:val="clear"/>
        </w:rPr>
        <w:t>Д</w:t>
      </w:r>
      <w:r>
        <w:rPr>
          <w:rFonts w:cs="Arabic Typesetting" w:ascii="Arabic Typesetting" w:hAnsi="Arabic Typesetting"/>
          <w:bCs/>
          <w:color w:val="000000"/>
          <w:sz w:val="24"/>
          <w:szCs w:val="24"/>
          <w:shd w:fill="FFFFFF" w:val="clear"/>
        </w:rPr>
        <w:t xml:space="preserve">. </w:t>
      </w:r>
      <w:r>
        <w:rPr>
          <w:rFonts w:cs="Calibri"/>
          <w:bCs/>
          <w:color w:val="000000"/>
          <w:sz w:val="24"/>
          <w:szCs w:val="24"/>
          <w:shd w:fill="FFFFFF" w:val="clear"/>
        </w:rPr>
        <w:t>С</w:t>
      </w:r>
      <w:r>
        <w:rPr>
          <w:rFonts w:cs="Arabic Typesetting" w:ascii="Arabic Typesetting" w:hAnsi="Arabic Typesetting"/>
          <w:bCs/>
          <w:color w:val="000000"/>
          <w:sz w:val="24"/>
          <w:szCs w:val="24"/>
          <w:shd w:fill="FFFFFF" w:val="clear"/>
        </w:rPr>
        <w:t>.</w:t>
      </w:r>
      <w:r>
        <w:rPr>
          <w:rStyle w:val="Appleconvertedspace"/>
          <w:rFonts w:cs="Arabic Typesetting" w:ascii="Arabic Typesetting" w:hAnsi="Arabic Typesetting"/>
          <w:b/>
          <w:bCs/>
          <w:color w:val="000000"/>
          <w:sz w:val="24"/>
          <w:szCs w:val="24"/>
          <w:shd w:fill="FFFFFF" w:val="clear"/>
        </w:rPr>
        <w:t> </w:t>
      </w:r>
      <w:r>
        <w:rPr>
          <w:rStyle w:val="Appleconvertedspace"/>
          <w:rFonts w:cs="Arabic Typesetting" w:ascii="Arabic Typesetting" w:hAnsi="Arabic Typesetting"/>
          <w:b/>
          <w:bCs/>
          <w:color w:val="000000"/>
          <w:sz w:val="24"/>
          <w:szCs w:val="24"/>
          <w:shd w:fill="FFFFFF" w:val="clear"/>
        </w:rPr>
        <w:drawing>
          <wp:inline distT="0" distB="0" distL="0" distR="0">
            <wp:extent cx="252730" cy="263525"/>
            <wp:effectExtent l="0" t="0" r="0" b="0"/>
            <wp:docPr id="6" name="Рисунок 9" descr="http://sov.opredelim.com/tw_files2/urls_1381/2/d-1202/7z-docs/12_html_130238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http://sov.opredelim.com/tw_files2/urls_1381/2/d-1202/7z-docs/12_html_1302383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/>
          <w:sz w:val="40"/>
          <w:szCs w:val="40"/>
          <w:shd w:fill="FFFFFF" w:val="clear"/>
        </w:rPr>
        <w:t>‹0</w:t>
      </w:r>
      <w:r>
        <w:rPr>
          <w:b/>
          <w:bCs/>
          <w:color w:val="000000"/>
          <w:sz w:val="27"/>
          <w:szCs w:val="27"/>
          <w:shd w:fill="FFFFFF" w:val="clear"/>
        </w:rPr>
        <w:t xml:space="preserve">, </w:t>
      </w:r>
      <w:r>
        <w:rPr>
          <w:bCs/>
          <w:color w:val="000000"/>
          <w:sz w:val="24"/>
          <w:szCs w:val="24"/>
          <w:shd w:fill="FFFFFF" w:val="clear"/>
        </w:rPr>
        <w:t>т. е.</w:t>
      </w:r>
      <w:r>
        <w:rPr>
          <w:rStyle w:val="Appleconvertedspace"/>
          <w:b/>
          <w:bCs/>
          <w:color w:val="000000"/>
          <w:sz w:val="24"/>
          <w:szCs w:val="24"/>
          <w:shd w:fill="FFFFFF" w:val="clear"/>
        </w:rPr>
        <w:t> </w:t>
      </w:r>
      <w:r>
        <w:rPr>
          <w:color w:val="000000"/>
          <w:sz w:val="24"/>
          <w:szCs w:val="24"/>
          <w:shd w:fill="FFFFFF" w:val="clear"/>
        </w:rPr>
        <w:t xml:space="preserve">поле индукционного тока направлено навстречу потоку; уменьшение потока </w:t>
      </w:r>
      <w:r>
        <w:rPr>
          <w:rFonts w:cs="Calibri"/>
          <w:color w:val="000000"/>
          <w:sz w:val="24"/>
          <w:szCs w:val="24"/>
          <w:shd w:fill="FFFFFF" w:val="clear"/>
        </w:rPr>
        <w:t>вызывает</w:t>
      </w:r>
      <w:r>
        <w:rPr>
          <w:rStyle w:val="Appleconvertedspace"/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> </w:t>
      </w:r>
      <w:r>
        <w:rPr>
          <w:rStyle w:val="Appleconvertedspace"/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drawing>
          <wp:inline distT="0" distB="0" distL="0" distR="0">
            <wp:extent cx="189230" cy="197485"/>
            <wp:effectExtent l="0" t="0" r="0" b="0"/>
            <wp:docPr id="7" name="Рисунок 8" descr="http://sov.opredelim.com/tw_files2/urls_1381/2/d-1202/7z-docs/12_html_130238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http://sov.opredelim.com/tw_files2/urls_1381/2/d-1202/7z-docs/12_html_1302383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abic Typesetting" w:ascii="Arabic Typesetting" w:hAnsi="Arabic Typesetting"/>
          <w:b/>
          <w:bCs/>
          <w:color w:val="000000"/>
          <w:sz w:val="24"/>
          <w:szCs w:val="24"/>
          <w:shd w:fill="FFFFFF" w:val="clear"/>
        </w:rPr>
        <w:t>›0,</w:t>
      </w:r>
      <w:r>
        <w:rPr>
          <w:rStyle w:val="Appleconvertedspace"/>
          <w:rFonts w:cs="Arabic Typesetting" w:ascii="Arabic Typesetting" w:hAnsi="Arabic Typesetting"/>
          <w:b/>
          <w:bCs/>
          <w:color w:val="000000"/>
          <w:sz w:val="24"/>
          <w:szCs w:val="24"/>
          <w:shd w:fill="FFFFFF" w:val="clear"/>
        </w:rPr>
        <w:t> 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т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.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е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.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направления потока и поля индукционного тока совпадают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.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Знак минус в формуле является математическим выражением правила Ленца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 —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обшего правила для нахождения направления индукционного тока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выведенного в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 xml:space="preserve"> 1833 </w:t>
      </w:r>
      <w:r>
        <w:rPr>
          <w:rFonts w:cs="Cambria" w:ascii="Cambria" w:hAnsi="Cambria"/>
          <w:color w:val="000000"/>
          <w:sz w:val="24"/>
          <w:szCs w:val="24"/>
          <w:shd w:fill="FFFFFF" w:val="clear"/>
        </w:rPr>
        <w:t>г</w:t>
      </w:r>
      <w:r>
        <w:rPr>
          <w:rFonts w:cs="Arabic Typesetting" w:ascii="Arabic Typesetting" w:hAnsi="Arabic Typesetting"/>
          <w:color w:val="000000"/>
          <w:sz w:val="24"/>
          <w:szCs w:val="24"/>
          <w:shd w:fill="FFFFFF" w:val="clear"/>
        </w:rPr>
        <w:t>.</w:t>
      </w:r>
      <w:r>
        <w:rPr>
          <w:rFonts w:cs="Arabic Typesetting" w:ascii="Arabic Typesetting" w:hAnsi="Arabic Typesetting"/>
          <w:color w:val="000000"/>
          <w:sz w:val="24"/>
          <w:szCs w:val="24"/>
        </w:rPr>
        <w:br/>
      </w:r>
      <w:r>
        <w:rPr>
          <w:rFonts w:cs="Cambria" w:ascii="Cambria" w:hAnsi="Cambria"/>
          <w:b/>
          <w:bCs/>
          <w:i/>
          <w:iCs/>
          <w:color w:val="000000"/>
          <w:sz w:val="24"/>
          <w:szCs w:val="24"/>
          <w:shd w:fill="FFFFFF" w:val="clear"/>
        </w:rPr>
        <w:t>Правило Ленца</w:t>
      </w:r>
      <w:r>
        <w:rPr>
          <w:rFonts w:cs="Arabic Typesetting" w:ascii="Arabic Typesetting" w:hAnsi="Arabic Typesetting"/>
          <w:b/>
          <w:bCs/>
          <w:i/>
          <w:iCs/>
          <w:color w:val="000000"/>
          <w:sz w:val="24"/>
          <w:szCs w:val="24"/>
          <w:shd w:fill="FFFFFF" w:val="clear"/>
        </w:rPr>
        <w:t>:</w:t>
      </w:r>
      <w:r>
        <w:rPr>
          <w:rFonts w:cs="Arabic Typesetting" w:ascii="Arabic Typesetting" w:hAnsi="Arabic Typesetting"/>
          <w:color w:val="000000"/>
          <w:sz w:val="24"/>
          <w:szCs w:val="24"/>
        </w:rPr>
        <w:br/>
      </w:r>
      <w:r>
        <w:rPr>
          <w:rFonts w:cs="Calibri"/>
          <w:color w:val="000000" w:themeColor="text1"/>
          <w:sz w:val="24"/>
          <w:szCs w:val="24"/>
          <w:shd w:fill="FFFFFF" w:val="clear"/>
        </w:rPr>
        <w:t>Правило Ленца</w:t>
      </w:r>
      <w:r>
        <w:rPr>
          <w:rFonts w:cs="Arabic Typesetting" w:ascii="Arabic Typesetting" w:hAnsi="Arabic Typesetting"/>
          <w:color w:val="000000" w:themeColor="text1"/>
          <w:sz w:val="24"/>
          <w:szCs w:val="24"/>
          <w:shd w:fill="FFFFFF" w:val="clear"/>
        </w:rPr>
        <w:t xml:space="preserve">, </w:t>
      </w:r>
      <w:r>
        <w:rPr>
          <w:rFonts w:cs="Calibri"/>
          <w:color w:val="000000" w:themeColor="text1"/>
          <w:sz w:val="24"/>
          <w:szCs w:val="24"/>
          <w:shd w:fill="FFFFFF" w:val="clear"/>
        </w:rPr>
        <w:t>правило для определения направления индукционного тока</w:t>
      </w:r>
      <w:r>
        <w:rPr>
          <w:rFonts w:cs="Arabic Typesetting" w:ascii="Arabic Typesetting" w:hAnsi="Arabic Typesetting"/>
          <w:color w:val="000000" w:themeColor="text1"/>
          <w:sz w:val="24"/>
          <w:szCs w:val="24"/>
          <w:shd w:fill="FFFFFF" w:val="clear"/>
        </w:rPr>
        <w:t xml:space="preserve">: </w:t>
      </w:r>
      <w:r>
        <w:rPr>
          <w:rFonts w:cs="Calibri"/>
          <w:color w:val="000000" w:themeColor="text1"/>
          <w:sz w:val="24"/>
          <w:szCs w:val="24"/>
          <w:shd w:fill="FFFFFF" w:val="clear"/>
        </w:rPr>
        <w:t>индукционный ток</w:t>
      </w:r>
      <w:r>
        <w:rPr>
          <w:rFonts w:cs="Arabic Typesetting" w:ascii="Arabic Typesetting" w:hAnsi="Arabic Typesetting"/>
          <w:color w:val="000000" w:themeColor="text1"/>
          <w:sz w:val="24"/>
          <w:szCs w:val="24"/>
          <w:shd w:fill="FFFFFF" w:val="clear"/>
        </w:rPr>
        <w:t xml:space="preserve">, </w:t>
      </w:r>
      <w:r>
        <w:rPr>
          <w:rFonts w:cs="Calibri"/>
          <w:color w:val="000000" w:themeColor="text1"/>
          <w:sz w:val="24"/>
          <w:szCs w:val="24"/>
          <w:shd w:fill="FFFFFF" w:val="clear"/>
        </w:rPr>
        <w:t>возникающий при относительном движении про</w:t>
      </w:r>
      <w:r>
        <w:rPr>
          <w:rFonts w:cs="Cambria" w:ascii="Cambria" w:hAnsi="Cambria"/>
          <w:color w:val="000000" w:themeColor="text1"/>
          <w:sz w:val="24"/>
          <w:szCs w:val="24"/>
          <w:shd w:fill="FFFFFF" w:val="clear"/>
        </w:rPr>
        <w:t>водящего контура и источника магнитного поля</w:t>
      </w:r>
      <w:r>
        <w:rPr>
          <w:rFonts w:cs="Arabic Typesetting" w:ascii="Arabic Typesetting" w:hAnsi="Arabic Typesetting"/>
          <w:color w:val="000000" w:themeColor="text1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 w:themeColor="text1"/>
          <w:sz w:val="24"/>
          <w:szCs w:val="24"/>
          <w:shd w:fill="FFFFFF" w:val="clear"/>
        </w:rPr>
        <w:t>всегда имеет такое направление</w:t>
      </w:r>
      <w:r>
        <w:rPr>
          <w:rFonts w:cs="Arabic Typesetting" w:ascii="Arabic Typesetting" w:hAnsi="Arabic Typesetting"/>
          <w:color w:val="000000" w:themeColor="text1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 w:themeColor="text1"/>
          <w:sz w:val="24"/>
          <w:szCs w:val="24"/>
          <w:shd w:fill="FFFFFF" w:val="clear"/>
        </w:rPr>
        <w:t>что его собственный магнитный поток компенсирует изменения внешнего магнитного потока</w:t>
      </w:r>
      <w:r>
        <w:rPr>
          <w:rFonts w:cs="Arabic Typesetting" w:ascii="Arabic Typesetting" w:hAnsi="Arabic Typesetting"/>
          <w:color w:val="000000" w:themeColor="text1"/>
          <w:sz w:val="24"/>
          <w:szCs w:val="24"/>
          <w:shd w:fill="FFFFFF" w:val="clear"/>
        </w:rPr>
        <w:t xml:space="preserve">, </w:t>
      </w:r>
      <w:r>
        <w:rPr>
          <w:rFonts w:cs="Cambria" w:ascii="Cambria" w:hAnsi="Cambria"/>
          <w:color w:val="000000" w:themeColor="text1"/>
          <w:sz w:val="24"/>
          <w:szCs w:val="24"/>
          <w:shd w:fill="FFFFFF" w:val="clear"/>
        </w:rPr>
        <w:t>вызвавшего это</w:t>
      </w:r>
      <w:r>
        <w:rPr>
          <w:rFonts w:cs="Calibri"/>
          <w:color w:val="000000" w:themeColor="text1"/>
          <w:sz w:val="24"/>
          <w:szCs w:val="24"/>
          <w:shd w:fill="FFFFFF" w:val="clear"/>
        </w:rPr>
        <w:t>т ток</w:t>
      </w:r>
      <w:r>
        <w:rPr>
          <w:rFonts w:cs="Arabic Typesetting" w:ascii="Arabic Typesetting" w:hAnsi="Arabic Typesetting"/>
          <w:color w:val="000000" w:themeColor="text1"/>
          <w:sz w:val="24"/>
          <w:szCs w:val="24"/>
          <w:shd w:fill="FFFFFF" w:val="clear"/>
        </w:rPr>
        <w:t>.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u w:val="single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cc"/>
    <w:family w:val="roman"/>
    <w:pitch w:val="variable"/>
  </w:font>
  <w:font w:name="Arabic Typesetting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559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semiHidden/>
    <w:qFormat/>
    <w:rsid w:val="00774374"/>
    <w:rPr>
      <w:rFonts w:ascii="Arial" w:hAnsi="Arial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qFormat/>
    <w:rsid w:val="00db3b58"/>
    <w:rPr/>
  </w:style>
  <w:style w:type="character" w:styleId="Style20" w:customStyle="1">
    <w:name w:val="style20"/>
    <w:basedOn w:val="DefaultParagraphFont"/>
    <w:qFormat/>
    <w:rsid w:val="00c50433"/>
    <w:rPr/>
  </w:style>
  <w:style w:type="character" w:styleId="Podzag9" w:customStyle="1">
    <w:name w:val="podzag_9"/>
    <w:basedOn w:val="DefaultParagraphFont"/>
    <w:qFormat/>
    <w:rsid w:val="00c50433"/>
    <w:rPr/>
  </w:style>
  <w:style w:type="character" w:styleId="Strong">
    <w:name w:val="Strong"/>
    <w:basedOn w:val="DefaultParagraphFont"/>
    <w:uiPriority w:val="22"/>
    <w:qFormat/>
    <w:rsid w:val="007a154a"/>
    <w:rPr>
      <w:b/>
      <w:bCs/>
    </w:rPr>
  </w:style>
  <w:style w:type="character" w:styleId="Style15">
    <w:name w:val="Выделение"/>
    <w:basedOn w:val="DefaultParagraphFont"/>
    <w:uiPriority w:val="20"/>
    <w:qFormat/>
    <w:rsid w:val="007a154a"/>
    <w:rPr>
      <w:i/>
      <w:iCs/>
    </w:rPr>
  </w:style>
  <w:style w:type="character" w:styleId="Style16">
    <w:name w:val="Интернет-ссылка"/>
    <w:basedOn w:val="DefaultParagraphFont"/>
    <w:uiPriority w:val="99"/>
    <w:semiHidden/>
    <w:unhideWhenUsed/>
    <w:rsid w:val="007a154a"/>
    <w:rPr>
      <w:color w:val="0000FF"/>
      <w:u w:val="single"/>
    </w:rPr>
  </w:style>
  <w:style w:type="character" w:styleId="Style17" w:customStyle="1">
    <w:name w:val="Текст выноски Знак"/>
    <w:basedOn w:val="DefaultParagraphFont"/>
    <w:link w:val="a9"/>
    <w:uiPriority w:val="99"/>
    <w:semiHidden/>
    <w:qFormat/>
    <w:rsid w:val="00823675"/>
    <w:rPr>
      <w:rFonts w:ascii="Tahoma" w:hAnsi="Tahoma" w:cs="Tahoma"/>
      <w:sz w:val="16"/>
      <w:szCs w:val="16"/>
    </w:rPr>
  </w:style>
  <w:style w:type="character" w:styleId="Style18" w:customStyle="1">
    <w:name w:val="Верхний колонтитул Знак"/>
    <w:basedOn w:val="DefaultParagraphFont"/>
    <w:link w:val="ab"/>
    <w:uiPriority w:val="99"/>
    <w:semiHidden/>
    <w:qFormat/>
    <w:rsid w:val="000f6480"/>
    <w:rPr/>
  </w:style>
  <w:style w:type="character" w:styleId="Style19" w:customStyle="1">
    <w:name w:val="Нижний колонтитул Знак"/>
    <w:basedOn w:val="DefaultParagraphFont"/>
    <w:link w:val="ad"/>
    <w:uiPriority w:val="99"/>
    <w:semiHidden/>
    <w:qFormat/>
    <w:rsid w:val="000f6480"/>
    <w:rPr/>
  </w:style>
  <w:style w:type="character" w:styleId="ListLabel1">
    <w:name w:val="ListLabel 1"/>
    <w:qFormat/>
    <w:rPr>
      <w:rFonts w:ascii="Times New Roman" w:hAnsi="Times New Roman"/>
      <w:b/>
      <w:i w:val="false"/>
      <w:sz w:val="24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Основной текст"/>
    <w:basedOn w:val="Normal"/>
    <w:link w:val="a4"/>
    <w:semiHidden/>
    <w:unhideWhenUsed/>
    <w:rsid w:val="00774374"/>
    <w:pPr>
      <w:spacing w:lineRule="auto" w:line="240" w:before="0" w:after="0"/>
      <w:jc w:val="both"/>
    </w:pPr>
    <w:rPr>
      <w:rFonts w:ascii="Arial" w:hAnsi="Arial" w:eastAsia="Times New Roman" w:cs="Times New Roman"/>
      <w:sz w:val="20"/>
      <w:szCs w:val="20"/>
      <w:lang w:eastAsia="ru-RU"/>
    </w:rPr>
  </w:style>
  <w:style w:type="paragraph" w:styleId="Style23">
    <w:name w:val="Список"/>
    <w:basedOn w:val="Style22"/>
    <w:pPr/>
    <w:rPr>
      <w:rFonts w:cs="Mangal"/>
    </w:rPr>
  </w:style>
  <w:style w:type="paragraph" w:styleId="Style2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c504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82367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6">
    <w:name w:val="Верхний колонтитул"/>
    <w:basedOn w:val="Normal"/>
    <w:link w:val="ac"/>
    <w:uiPriority w:val="99"/>
    <w:semiHidden/>
    <w:unhideWhenUsed/>
    <w:rsid w:val="000f648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Нижний колонтитул"/>
    <w:basedOn w:val="Normal"/>
    <w:link w:val="ae"/>
    <w:uiPriority w:val="99"/>
    <w:semiHidden/>
    <w:unhideWhenUsed/>
    <w:rsid w:val="000f648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image" Target="media/image7.gif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LibreOffice/4.4.3.2$Windows_x86 LibreOffice_project/88805f81e9fe61362df02b9941de8e38a9b5fd16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2015-06-09T15:57:00Z</dcterms:created>
  <dc:creator>Николай Моисеев</dc:creator>
  <dc:language>ru-RU</dc:language>
  <dcterms:modified xsi:type="dcterms:W3CDTF">2015-06-15T18:12:46Z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