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hAnsi="Arial" w:cs="Arial"/>
          <w:color w:val="000000"/>
          <w:sz w:val="23"/>
          <w:szCs w:val="23"/>
        </w:rPr>
        <w:t>Управление двигателями постоянного тока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По способу возбуждения двигатели постоянного тока подразделяются аналогично генераторам на двигатели независимого (рис.1), параллельного (рис.2), последовательного (рис.3) и смешанного (рис.4) возбуждения. При параллельном, последовательном и смешанном возбуждении  напряжение на обмотке возбуждения зависит от напряжения на обмотке якоря, при независимой системе возбуждения, обмотка возбуждения питается от дополнительного источника постоянного тока и не зависит от режима работы и нагрузки двигателя.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98725" cy="2190115"/>
            <wp:effectExtent l="19050" t="0" r="0" b="0"/>
            <wp:docPr id="1" name="Рисунок 1" descr="http://www.driveka.ru/solutions/Nez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iveka.ru/solutions/Neza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 Рис.1 Схема независимого возбуждения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98725" cy="2190115"/>
            <wp:effectExtent l="19050" t="0" r="0" b="0"/>
            <wp:docPr id="2" name="Рисунок 2" descr="http://www.driveka.ru/solutions/Par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riveka.ru/solutions/Para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Рис.2 Схема параллельного возбуждения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87930" cy="1818005"/>
            <wp:effectExtent l="19050" t="0" r="7620" b="0"/>
            <wp:docPr id="3" name="Рисунок 3" descr="http://www.driveka.ru/solutions/Pos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riveka.ru/solutions/Pos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Рис.3 Схема последовательного возбуждения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530475" cy="2796540"/>
            <wp:effectExtent l="19050" t="0" r="3175" b="0"/>
            <wp:docPr id="4" name="Рисунок 4" descr="http://www.driveka.ru/solutions/Sm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riveka.ru/solutions/Sme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Рис.4 Схема смешанного возбуждения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Для регулирования скорости двигателей постоянного тока применяют различные способы.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  <w:t>В общем случае скорость двигателя определяется выражением: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6815455" cy="1158875"/>
            <wp:effectExtent l="19050" t="0" r="4445" b="0"/>
            <wp:docPr id="5" name="Рисунок 5" descr="http://www.driveka.ru/solutions/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riveka.ru/solutions/Formu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Как видно из выражения (1.1), регулировать скорость двигателя постоянного тока возможно двумя способами: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Изменением питающего напряжения U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>- Изменением магнитного потока машины Ф (изменением тока возбуждения)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>Раньше регулирование питающего напряжения встречало трудности связанные с преобразованием напряжения постоянного тока, изменение скорости вращения двигателя осуществлялось с помощью включения в цепь якоря дополнительного регулировочного реостата. Основными недостатками этого метода являются  потери в реостате, через который протекает ток полной нагрузки двигателя, неудобство управления.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 xml:space="preserve">Наиболее удобным, распространенным и экономичным способом регулирования скорости вращения двигателя постоянного тока, является изменение магнитного потока машины (изменение тока возбуждения). Экономия связана с тем, что в данном случае управлять можно не большим током якоря, а малым током возбуждения, что </w:t>
      </w:r>
      <w:r>
        <w:rPr>
          <w:rFonts w:ascii="Arial" w:hAnsi="Arial" w:cs="Arial"/>
          <w:color w:val="000000"/>
          <w:sz w:val="23"/>
          <w:szCs w:val="23"/>
        </w:rPr>
        <w:lastRenderedPageBreak/>
        <w:t>уменьшает потери и удешевляет систему управления.  Однако этот способ позволяет лишь увеличивать скорость вращения двигателя.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 xml:space="preserve">Согласно выражению (1.1), с уменьшением Ф скорость возрастает (рис.5). Двигатели рассчитываются для работы при номинальном режиме с наибольшим значением Ф, т. е. с наименьшей величиной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При таком регулировании к. п. д. двигателя остается высоким, так как мощность возбуждения мала, и потери при регулировании минимальны. Максимальная скорость вращения в данном случае ограничивается механической прочностью машины и условиями ее коммутации.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785235" cy="2839085"/>
            <wp:effectExtent l="19050" t="0" r="5715" b="0"/>
            <wp:docPr id="6" name="Рисунок 6" descr="http://www.driveka.ru/solutions/Graph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riveka.ru/solutions/Graphi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    </w:t>
      </w:r>
    </w:p>
    <w:p w:rsidR="00EC1799" w:rsidRDefault="00EC1799" w:rsidP="00EC1799">
      <w:pPr>
        <w:pStyle w:val="a3"/>
        <w:shd w:val="clear" w:color="auto" w:fill="FFFFFF"/>
        <w:spacing w:before="84" w:beforeAutospacing="0" w:after="167" w:afterAutospacing="0" w:line="33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Рис.5 Характеристики ДПТ при регулировании тока возбуждения</w:t>
      </w:r>
    </w:p>
    <w:p w:rsidR="00353F52" w:rsidRDefault="00353F52"/>
    <w:sectPr w:rsidR="0035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53F52"/>
    <w:rsid w:val="00353F52"/>
    <w:rsid w:val="00EC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1799"/>
    <w:rPr>
      <w:b/>
      <w:bCs/>
    </w:rPr>
  </w:style>
  <w:style w:type="character" w:customStyle="1" w:styleId="apple-converted-space">
    <w:name w:val="apple-converted-space"/>
    <w:basedOn w:val="a0"/>
    <w:rsid w:val="00EC1799"/>
  </w:style>
  <w:style w:type="paragraph" w:styleId="a5">
    <w:name w:val="Balloon Text"/>
    <w:basedOn w:val="a"/>
    <w:link w:val="a6"/>
    <w:uiPriority w:val="99"/>
    <w:semiHidden/>
    <w:unhideWhenUsed/>
    <w:rsid w:val="00EC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2017-01-14T19:34:00Z</dcterms:created>
  <dcterms:modified xsi:type="dcterms:W3CDTF">2017-01-14T19:34:00Z</dcterms:modified>
</cp:coreProperties>
</file>