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665" w:rsidRPr="0032149B" w:rsidRDefault="000B4665" w:rsidP="000B4665">
      <w:pPr>
        <w:widowControl w:val="0"/>
        <w:spacing w:after="0" w:line="240" w:lineRule="auto"/>
        <w:ind w:left="-1418" w:right="283"/>
        <w:rPr>
          <w:rFonts w:ascii="Times New Roman" w:hAnsi="Times New Roman"/>
          <w:b/>
        </w:rPr>
      </w:pPr>
      <w:r>
        <w:t>1</w:t>
      </w:r>
      <w:r w:rsidRPr="0032149B">
        <w:t>.</w:t>
      </w:r>
      <w:r w:rsidRPr="0032149B">
        <w:rPr>
          <w:rFonts w:ascii="Times New Roman" w:hAnsi="Times New Roman"/>
          <w:b/>
        </w:rPr>
        <w:t xml:space="preserve">  Соотношения неопределенностей Гейзенберга, их физическое содержание</w:t>
      </w:r>
    </w:p>
    <w:p w:rsidR="000B4665" w:rsidRPr="0032149B" w:rsidRDefault="000B4665" w:rsidP="000B4665">
      <w:pPr>
        <w:widowControl w:val="0"/>
        <w:spacing w:after="0" w:line="240" w:lineRule="auto"/>
        <w:ind w:left="-1418" w:right="283"/>
        <w:rPr>
          <w:rFonts w:ascii="Times New Roman" w:hAnsi="Times New Roman"/>
          <w:color w:val="000000"/>
        </w:rPr>
      </w:pPr>
      <w:r w:rsidRPr="0032149B">
        <w:rPr>
          <w:rFonts w:ascii="Times New Roman" w:hAnsi="Times New Roman"/>
          <w:bCs/>
          <w:color w:val="000000"/>
        </w:rPr>
        <w:t>Принцип неопределённости Гейзенберга</w:t>
      </w:r>
      <w:r w:rsidRPr="0032149B">
        <w:rPr>
          <w:rFonts w:ascii="Times New Roman" w:hAnsi="Times New Roman"/>
          <w:color w:val="000000"/>
        </w:rPr>
        <w:t xml:space="preserve"> - в </w:t>
      </w:r>
      <w:hyperlink r:id="rId5" w:tooltip="Квантовая механика" w:history="1">
        <w:r w:rsidRPr="0032149B">
          <w:rPr>
            <w:rStyle w:val="a3"/>
            <w:rFonts w:ascii="Times New Roman" w:hAnsi="Times New Roman"/>
            <w:color w:val="000000"/>
          </w:rPr>
          <w:t>квантовой механике</w:t>
        </w:r>
      </w:hyperlink>
      <w:r w:rsidRPr="0032149B">
        <w:rPr>
          <w:rFonts w:ascii="Times New Roman" w:hAnsi="Times New Roman"/>
          <w:color w:val="000000"/>
        </w:rPr>
        <w:t xml:space="preserve"> так называют принцип, дающий нижний (ненулевой) предел для произведения </w:t>
      </w:r>
      <w:hyperlink r:id="rId6" w:tooltip="Статистическая дисперсия" w:history="1">
        <w:r w:rsidRPr="0032149B">
          <w:rPr>
            <w:rStyle w:val="a3"/>
            <w:rFonts w:ascii="Times New Roman" w:hAnsi="Times New Roman"/>
            <w:color w:val="000000"/>
          </w:rPr>
          <w:t>дисперсий</w:t>
        </w:r>
      </w:hyperlink>
      <w:r w:rsidRPr="0032149B">
        <w:rPr>
          <w:rFonts w:ascii="Times New Roman" w:hAnsi="Times New Roman"/>
          <w:color w:val="000000"/>
        </w:rPr>
        <w:t xml:space="preserve"> величин, характеризующих состояние системы.</w:t>
      </w:r>
    </w:p>
    <w:p w:rsidR="000B4665" w:rsidRPr="0032149B" w:rsidRDefault="000B4665" w:rsidP="000B4665">
      <w:pPr>
        <w:widowControl w:val="0"/>
        <w:spacing w:after="0" w:line="240" w:lineRule="auto"/>
        <w:ind w:left="-1418" w:right="283"/>
        <w:rPr>
          <w:rFonts w:ascii="Times New Roman" w:hAnsi="Times New Roman"/>
          <w:color w:val="000000"/>
        </w:rPr>
      </w:pPr>
      <w:r w:rsidRPr="0032149B">
        <w:rPr>
          <w:rFonts w:ascii="Times New Roman" w:hAnsi="Times New Roman"/>
          <w:color w:val="000000"/>
        </w:rPr>
        <w:t xml:space="preserve">Соотношения неопределённости Гейзенберга — это теоретический предел точности любых измерений. Они справедливы для так называемых </w:t>
      </w:r>
      <w:hyperlink r:id="rId7" w:tooltip="Идеальное измерение (страница отсутствует)" w:history="1">
        <w:r w:rsidRPr="0032149B">
          <w:rPr>
            <w:rStyle w:val="a3"/>
            <w:rFonts w:ascii="Times New Roman" w:hAnsi="Times New Roman"/>
            <w:color w:val="000000"/>
          </w:rPr>
          <w:t>идеальных измерений</w:t>
        </w:r>
      </w:hyperlink>
      <w:r w:rsidRPr="0032149B">
        <w:rPr>
          <w:rFonts w:ascii="Times New Roman" w:hAnsi="Times New Roman"/>
          <w:color w:val="000000"/>
        </w:rPr>
        <w:t xml:space="preserve">, иногда называемых измерениями </w:t>
      </w:r>
      <w:hyperlink r:id="rId8" w:tooltip="Фон Нейман, Джон" w:history="1">
        <w:r w:rsidRPr="0032149B">
          <w:rPr>
            <w:rStyle w:val="a3"/>
            <w:rFonts w:ascii="Times New Roman" w:hAnsi="Times New Roman"/>
            <w:color w:val="000000"/>
          </w:rPr>
          <w:t>фон Неймана</w:t>
        </w:r>
      </w:hyperlink>
      <w:r w:rsidRPr="0032149B">
        <w:rPr>
          <w:rFonts w:ascii="Times New Roman" w:hAnsi="Times New Roman"/>
          <w:color w:val="000000"/>
        </w:rPr>
        <w:t xml:space="preserve">. Они тем более справедливы для неидеальных измерений или измерений </w:t>
      </w:r>
      <w:hyperlink r:id="rId9" w:tooltip="Ландау, Лев Давидович" w:history="1">
        <w:r w:rsidRPr="0032149B">
          <w:rPr>
            <w:rStyle w:val="a3"/>
            <w:rFonts w:ascii="Times New Roman" w:hAnsi="Times New Roman"/>
            <w:color w:val="000000"/>
          </w:rPr>
          <w:t>Ландау</w:t>
        </w:r>
      </w:hyperlink>
      <w:r w:rsidRPr="0032149B">
        <w:rPr>
          <w:rFonts w:ascii="Times New Roman" w:hAnsi="Times New Roman"/>
          <w:color w:val="000000"/>
        </w:rPr>
        <w:t>.</w:t>
      </w:r>
    </w:p>
    <w:p w:rsidR="000B4665" w:rsidRPr="0032149B" w:rsidRDefault="000B4665" w:rsidP="000B4665">
      <w:pPr>
        <w:widowControl w:val="0"/>
        <w:spacing w:after="0" w:line="240" w:lineRule="auto"/>
        <w:ind w:left="-1418" w:right="283"/>
        <w:rPr>
          <w:rFonts w:ascii="Times New Roman" w:hAnsi="Times New Roman"/>
          <w:color w:val="000000"/>
        </w:rPr>
      </w:pPr>
      <w:r w:rsidRPr="0032149B">
        <w:rPr>
          <w:rFonts w:ascii="Times New Roman" w:hAnsi="Times New Roman"/>
          <w:color w:val="000000"/>
        </w:rPr>
        <w:t xml:space="preserve">Соответственно, любая частица (в общем смысле, например несущая дискретный </w:t>
      </w:r>
      <w:hyperlink r:id="rId10" w:tooltip="Электрический заряд" w:history="1">
        <w:r w:rsidRPr="0032149B">
          <w:rPr>
            <w:rStyle w:val="a3"/>
            <w:rFonts w:ascii="Times New Roman" w:hAnsi="Times New Roman"/>
            <w:color w:val="000000"/>
          </w:rPr>
          <w:t>электрический заряд</w:t>
        </w:r>
      </w:hyperlink>
      <w:r w:rsidRPr="0032149B">
        <w:rPr>
          <w:rFonts w:ascii="Times New Roman" w:hAnsi="Times New Roman"/>
          <w:color w:val="000000"/>
        </w:rPr>
        <w:t xml:space="preserve">) не может быть описана одновременно как «классическая точечная частица» и как </w:t>
      </w:r>
      <w:hyperlink r:id="rId11" w:tooltip="Волна" w:history="1">
        <w:r w:rsidRPr="0032149B">
          <w:rPr>
            <w:rStyle w:val="a3"/>
            <w:rFonts w:ascii="Times New Roman" w:hAnsi="Times New Roman"/>
            <w:color w:val="000000"/>
          </w:rPr>
          <w:t>волна</w:t>
        </w:r>
      </w:hyperlink>
      <w:r w:rsidRPr="0032149B">
        <w:rPr>
          <w:rFonts w:ascii="Times New Roman" w:hAnsi="Times New Roman"/>
          <w:color w:val="000000"/>
        </w:rPr>
        <w:t xml:space="preserve">. (Сам факт того, что какое-либо из этих описаний может быть справедливо, по крайней мере в отдельных случаях, называют </w:t>
      </w:r>
      <w:hyperlink r:id="rId12" w:tooltip="Корпускулярно-волновой дуализм" w:history="1">
        <w:r w:rsidRPr="0032149B">
          <w:rPr>
            <w:rStyle w:val="a3"/>
            <w:rFonts w:ascii="Times New Roman" w:hAnsi="Times New Roman"/>
            <w:color w:val="000000"/>
          </w:rPr>
          <w:t>корпускулярно-волновым дуализмом</w:t>
        </w:r>
      </w:hyperlink>
      <w:r w:rsidRPr="0032149B">
        <w:rPr>
          <w:rFonts w:ascii="Times New Roman" w:hAnsi="Times New Roman"/>
          <w:color w:val="000000"/>
        </w:rPr>
        <w:t xml:space="preserve">). Принцип неопределённости, в виде, первоначально предложенном Гейзенбергом, верен в случае, когда </w:t>
      </w:r>
      <w:r w:rsidRPr="0032149B">
        <w:rPr>
          <w:rFonts w:ascii="Times New Roman" w:hAnsi="Times New Roman"/>
          <w:iCs/>
          <w:color w:val="000000"/>
        </w:rPr>
        <w:t>ни одно</w:t>
      </w:r>
      <w:r w:rsidRPr="0032149B">
        <w:rPr>
          <w:rFonts w:ascii="Times New Roman" w:hAnsi="Times New Roman"/>
          <w:color w:val="000000"/>
        </w:rPr>
        <w:t xml:space="preserve"> из этих двух описаний не является полностью и исключительно подходящим, например </w:t>
      </w:r>
      <w:hyperlink r:id="rId13" w:tooltip="Частица в коробке (страница отсутствует)" w:history="1">
        <w:r w:rsidRPr="0032149B">
          <w:rPr>
            <w:rStyle w:val="a3"/>
            <w:rFonts w:ascii="Times New Roman" w:hAnsi="Times New Roman"/>
            <w:color w:val="000000"/>
          </w:rPr>
          <w:t>частица в коробке</w:t>
        </w:r>
      </w:hyperlink>
      <w:r w:rsidRPr="0032149B">
        <w:rPr>
          <w:rFonts w:ascii="Times New Roman" w:hAnsi="Times New Roman"/>
          <w:color w:val="000000"/>
        </w:rPr>
        <w:t xml:space="preserve"> с определённым значением энергии; то есть для систем, которые не характеризуются </w:t>
      </w:r>
      <w:r w:rsidRPr="0032149B">
        <w:rPr>
          <w:rFonts w:ascii="Times New Roman" w:hAnsi="Times New Roman"/>
          <w:iCs/>
          <w:color w:val="000000"/>
        </w:rPr>
        <w:t>ни</w:t>
      </w:r>
      <w:r w:rsidRPr="0032149B">
        <w:rPr>
          <w:rFonts w:ascii="Times New Roman" w:hAnsi="Times New Roman"/>
          <w:color w:val="000000"/>
        </w:rPr>
        <w:t xml:space="preserve"> каким-либо определённым «положением» (какое-либо определённое значение расстояния от потенциальной стенки), </w:t>
      </w:r>
      <w:r w:rsidRPr="0032149B">
        <w:rPr>
          <w:rFonts w:ascii="Times New Roman" w:hAnsi="Times New Roman"/>
          <w:iCs/>
          <w:color w:val="000000"/>
        </w:rPr>
        <w:t>ни</w:t>
      </w:r>
      <w:r w:rsidRPr="0032149B">
        <w:rPr>
          <w:rFonts w:ascii="Times New Roman" w:hAnsi="Times New Roman"/>
          <w:color w:val="000000"/>
        </w:rPr>
        <w:t xml:space="preserve"> каким-либо определённым значением импульса (включая его направление).</w:t>
      </w:r>
    </w:p>
    <w:p w:rsidR="000B4665" w:rsidRPr="0032149B" w:rsidRDefault="000B4665" w:rsidP="000B4665">
      <w:pPr>
        <w:widowControl w:val="0"/>
        <w:spacing w:after="0" w:line="240" w:lineRule="auto"/>
        <w:ind w:left="-1418" w:right="283"/>
        <w:rPr>
          <w:rFonts w:ascii="Times New Roman" w:hAnsi="Times New Roman"/>
          <w:i/>
          <w:iCs/>
        </w:rPr>
      </w:pPr>
      <w:r w:rsidRPr="0032149B">
        <w:rPr>
          <w:rFonts w:ascii="Times New Roman" w:hAnsi="Times New Roman"/>
        </w:rPr>
        <w:t xml:space="preserve">Соотношение неопределенности Гейзенберга показывает, что “между точностью, с которой одновременно может быть установлено положение частицы, и точностью ее импульса существует определенное соотношение”: </w:t>
      </w:r>
      <w:r w:rsidRPr="0032149B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129540" cy="170180"/>
            <wp:effectExtent l="19050" t="0" r="3810" b="0"/>
            <wp:docPr id="1" name="Рисунок 22" descr="http://www.shaping.ru/congress/russian/bernstein/2/Image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://www.shaping.ru/congress/russian/bernstein/2/Image9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49B">
        <w:rPr>
          <w:rFonts w:ascii="Times New Roman" w:hAnsi="Times New Roman"/>
          <w:noProof/>
          <w:lang w:val="en-US" w:eastAsia="ru-RU"/>
        </w:rPr>
        <w:t>x</w:t>
      </w:r>
      <w:r w:rsidRPr="0032149B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129540" cy="170180"/>
            <wp:effectExtent l="19050" t="0" r="3810" b="0"/>
            <wp:docPr id="2" name="Рисунок 23" descr="http://www.shaping.ru/congress/russian/bernstein/2/Image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http://www.shaping.ru/congress/russian/bernstein/2/Image9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32149B">
        <w:rPr>
          <w:rFonts w:ascii="Times New Roman" w:hAnsi="Times New Roman"/>
          <w:i/>
          <w:iCs/>
        </w:rPr>
        <w:t>p</w:t>
      </w:r>
      <w:proofErr w:type="spellEnd"/>
      <w:r w:rsidRPr="0032149B">
        <w:rPr>
          <w:rFonts w:ascii="Times New Roman" w:hAnsi="Times New Roman"/>
        </w:rPr>
        <w:t xml:space="preserve"> ≥ </w:t>
      </w:r>
      <w:proofErr w:type="spellStart"/>
      <w:r w:rsidRPr="0032149B">
        <w:rPr>
          <w:rFonts w:ascii="Times New Roman" w:hAnsi="Times New Roman"/>
          <w:i/>
          <w:iCs/>
        </w:rPr>
        <w:t>h</w:t>
      </w:r>
      <w:proofErr w:type="spellEnd"/>
      <w:r w:rsidRPr="0032149B">
        <w:rPr>
          <w:rFonts w:ascii="Times New Roman" w:hAnsi="Times New Roman"/>
          <w:i/>
          <w:iCs/>
        </w:rPr>
        <w:t xml:space="preserve"> ,</w:t>
      </w:r>
    </w:p>
    <w:p w:rsidR="000B4665" w:rsidRPr="0032149B" w:rsidRDefault="000B4665" w:rsidP="000B4665">
      <w:pPr>
        <w:widowControl w:val="0"/>
        <w:spacing w:after="0" w:line="240" w:lineRule="auto"/>
        <w:ind w:left="-1418" w:right="283"/>
        <w:rPr>
          <w:rFonts w:ascii="Times New Roman" w:hAnsi="Times New Roman"/>
        </w:rPr>
      </w:pPr>
      <w:r w:rsidRPr="0032149B">
        <w:rPr>
          <w:rFonts w:ascii="Times New Roman" w:hAnsi="Times New Roman"/>
        </w:rPr>
        <w:t xml:space="preserve">где </w:t>
      </w:r>
      <w:r w:rsidRPr="0032149B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129540" cy="170180"/>
            <wp:effectExtent l="19050" t="0" r="3810" b="0"/>
            <wp:docPr id="3" name="Рисунок 32" descr="http://www.shaping.ru/congress/russian/bernstein/2/Image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http://www.shaping.ru/congress/russian/bernstein/2/Image9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49B">
        <w:rPr>
          <w:rFonts w:ascii="Times New Roman" w:hAnsi="Times New Roman"/>
        </w:rPr>
        <w:t xml:space="preserve"> - среднеквадратичное отклонение.</w:t>
      </w:r>
    </w:p>
    <w:p w:rsidR="000B4665" w:rsidRPr="0032149B" w:rsidRDefault="000B4665" w:rsidP="000B4665">
      <w:pPr>
        <w:widowControl w:val="0"/>
        <w:spacing w:after="0" w:line="240" w:lineRule="auto"/>
        <w:ind w:left="-1418" w:right="5670"/>
        <w:rPr>
          <w:rFonts w:ascii="Times New Roman" w:hAnsi="Times New Roman"/>
        </w:rPr>
      </w:pPr>
    </w:p>
    <w:p w:rsidR="000B4665" w:rsidRDefault="000B4665" w:rsidP="000B4665">
      <w:pPr>
        <w:widowControl w:val="0"/>
        <w:spacing w:after="0" w:line="240" w:lineRule="auto"/>
        <w:ind w:left="-1418" w:right="5670"/>
      </w:pPr>
      <w:r>
        <w:t>2.</w:t>
      </w:r>
      <w:r w:rsidR="0032149B" w:rsidRPr="0032149B">
        <w:t xml:space="preserve"> </w:t>
      </w:r>
      <w:r w:rsidR="0032149B">
        <w:rPr>
          <w:noProof/>
          <w:lang w:eastAsia="ru-RU"/>
        </w:rPr>
        <w:drawing>
          <wp:inline distT="0" distB="0" distL="0" distR="0">
            <wp:extent cx="3628140" cy="4830945"/>
            <wp:effectExtent l="19050" t="0" r="0" b="0"/>
            <wp:docPr id="12" name="Рисунок 12" descr="http://cs631924.vk.me/v631924793/ba6a/LNi-5xAP2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s631924.vk.me/v631924793/ba6a/LNi-5xAP2Bs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27" cy="483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9B" w:rsidRDefault="0032149B" w:rsidP="0032149B">
      <w:pPr>
        <w:widowControl w:val="0"/>
        <w:spacing w:after="0" w:line="240" w:lineRule="auto"/>
        <w:ind w:left="-1418" w:right="5670"/>
      </w:pPr>
    </w:p>
    <w:p w:rsidR="0032149B" w:rsidRDefault="0032149B" w:rsidP="0032149B">
      <w:pPr>
        <w:widowControl w:val="0"/>
        <w:spacing w:after="0" w:line="240" w:lineRule="auto"/>
        <w:ind w:left="-1418" w:right="5670"/>
      </w:pPr>
    </w:p>
    <w:p w:rsidR="0032149B" w:rsidRDefault="0032149B" w:rsidP="0032149B">
      <w:pPr>
        <w:widowControl w:val="0"/>
        <w:spacing w:after="0" w:line="240" w:lineRule="auto"/>
        <w:ind w:left="-1418" w:right="5670"/>
      </w:pPr>
    </w:p>
    <w:p w:rsidR="0032149B" w:rsidRDefault="0032149B" w:rsidP="0032149B">
      <w:pPr>
        <w:widowControl w:val="0"/>
        <w:spacing w:after="0" w:line="240" w:lineRule="auto"/>
        <w:ind w:left="-1418" w:right="5670"/>
      </w:pPr>
    </w:p>
    <w:p w:rsidR="0032149B" w:rsidRDefault="0032149B" w:rsidP="0032149B">
      <w:pPr>
        <w:widowControl w:val="0"/>
        <w:spacing w:after="0" w:line="240" w:lineRule="auto"/>
        <w:ind w:left="-1418" w:right="5670"/>
      </w:pPr>
    </w:p>
    <w:p w:rsidR="0032149B" w:rsidRDefault="0032149B" w:rsidP="0032149B">
      <w:pPr>
        <w:widowControl w:val="0"/>
        <w:spacing w:after="0" w:line="240" w:lineRule="auto"/>
        <w:ind w:left="-1418" w:right="5670"/>
      </w:pPr>
    </w:p>
    <w:p w:rsidR="000B4665" w:rsidRPr="0032149B" w:rsidRDefault="0032149B" w:rsidP="0032149B">
      <w:pPr>
        <w:widowControl w:val="0"/>
        <w:spacing w:after="0" w:line="240" w:lineRule="auto"/>
        <w:ind w:left="-1418" w:right="-143"/>
        <w:rPr>
          <w:sz w:val="28"/>
          <w:szCs w:val="28"/>
        </w:rPr>
      </w:pPr>
      <w:r w:rsidRPr="0032149B">
        <w:rPr>
          <w:sz w:val="28"/>
          <w:szCs w:val="28"/>
        </w:rPr>
        <w:lastRenderedPageBreak/>
        <w:t>3.</w:t>
      </w:r>
      <w:r w:rsidR="000B4665" w:rsidRPr="0032149B">
        <w:rPr>
          <w:b/>
          <w:sz w:val="28"/>
          <w:szCs w:val="28"/>
        </w:rPr>
        <w:t xml:space="preserve"> Элементы квантовой статистики. Нахождение числа электронов в заданном интервале энергий. Нахождение средних значений. Средняя энергия электронов в металле.</w:t>
      </w:r>
    </w:p>
    <w:p w:rsidR="000B4665" w:rsidRPr="0032149B" w:rsidRDefault="000B4665" w:rsidP="0032149B">
      <w:pPr>
        <w:ind w:left="-1418" w:right="-143"/>
        <w:rPr>
          <w:sz w:val="28"/>
          <w:szCs w:val="28"/>
        </w:rPr>
      </w:pPr>
      <w:r w:rsidRPr="0032149B">
        <w:rPr>
          <w:sz w:val="28"/>
          <w:szCs w:val="28"/>
        </w:rPr>
        <w:t>Квантовая статистика – это статистический метод исследования, применимый к системам, состоящим из большого числа частиц, которые подчиняются законам квантовой механики. Квантовая статистика – это дважды статическая система.</w:t>
      </w:r>
    </w:p>
    <w:p w:rsidR="000B4665" w:rsidRPr="0032149B" w:rsidRDefault="000B4665" w:rsidP="0032149B">
      <w:pPr>
        <w:ind w:left="-1418" w:right="-143"/>
        <w:rPr>
          <w:sz w:val="28"/>
          <w:szCs w:val="28"/>
        </w:rPr>
      </w:pPr>
      <w:r w:rsidRPr="0032149B">
        <w:rPr>
          <w:sz w:val="28"/>
          <w:szCs w:val="28"/>
        </w:rPr>
        <w:t xml:space="preserve">    Соотношение, которое позволяет, зная концентрацию электронов , найти энергию Ферми , или, наоборот:</w:t>
      </w:r>
    </w:p>
    <w:p w:rsidR="000B4665" w:rsidRPr="0032149B" w:rsidRDefault="000B4665" w:rsidP="0032149B">
      <w:pPr>
        <w:ind w:left="-1418" w:right="-143"/>
        <w:rPr>
          <w:sz w:val="28"/>
          <w:szCs w:val="28"/>
        </w:rPr>
      </w:pPr>
      <w:r w:rsidRPr="0032149B">
        <w:rPr>
          <w:noProof/>
          <w:sz w:val="28"/>
          <w:szCs w:val="28"/>
          <w:lang w:eastAsia="ru-RU"/>
        </w:rPr>
        <w:drawing>
          <wp:inline distT="0" distB="0" distL="0" distR="0">
            <wp:extent cx="914400" cy="2832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49B">
        <w:rPr>
          <w:sz w:val="28"/>
          <w:szCs w:val="28"/>
        </w:rPr>
        <w:t xml:space="preserve"> Среднее значение энергии электронов: &lt;</w:t>
      </w:r>
      <w:r w:rsidRPr="0032149B">
        <w:rPr>
          <w:sz w:val="28"/>
          <w:szCs w:val="28"/>
          <w:lang w:val="en-US"/>
        </w:rPr>
        <w:t>E</w:t>
      </w:r>
      <w:r w:rsidRPr="0032149B">
        <w:rPr>
          <w:sz w:val="28"/>
          <w:szCs w:val="28"/>
        </w:rPr>
        <w:t>&gt;=</w:t>
      </w:r>
      <w:r w:rsidRPr="0032149B">
        <w:rPr>
          <w:sz w:val="28"/>
          <w:szCs w:val="28"/>
          <w:vertAlign w:val="subscript"/>
        </w:rPr>
        <w:t>0</w:t>
      </w:r>
      <w:r w:rsidRPr="0032149B">
        <w:rPr>
          <w:sz w:val="28"/>
          <w:szCs w:val="28"/>
        </w:rPr>
        <w:t>∫</w:t>
      </w:r>
      <w:r w:rsidRPr="0032149B">
        <w:rPr>
          <w:sz w:val="28"/>
          <w:szCs w:val="28"/>
          <w:vertAlign w:val="superscript"/>
        </w:rPr>
        <w:t>∞</w:t>
      </w:r>
      <w:proofErr w:type="spellStart"/>
      <w:r w:rsidRPr="0032149B">
        <w:rPr>
          <w:sz w:val="28"/>
          <w:szCs w:val="28"/>
          <w:lang w:val="en-US"/>
        </w:rPr>
        <w:t>Eg</w:t>
      </w:r>
      <w:proofErr w:type="spellEnd"/>
      <w:r w:rsidRPr="0032149B">
        <w:rPr>
          <w:sz w:val="28"/>
          <w:szCs w:val="28"/>
        </w:rPr>
        <w:t>(</w:t>
      </w:r>
      <w:r w:rsidRPr="0032149B">
        <w:rPr>
          <w:sz w:val="28"/>
          <w:szCs w:val="28"/>
          <w:lang w:val="en-US"/>
        </w:rPr>
        <w:t>E</w:t>
      </w:r>
      <w:r w:rsidRPr="0032149B">
        <w:rPr>
          <w:sz w:val="28"/>
          <w:szCs w:val="28"/>
        </w:rPr>
        <w:t>)</w:t>
      </w:r>
      <w:r w:rsidRPr="0032149B">
        <w:rPr>
          <w:sz w:val="28"/>
          <w:szCs w:val="28"/>
          <w:lang w:val="en-US"/>
        </w:rPr>
        <w:t>f</w:t>
      </w:r>
      <w:r w:rsidRPr="0032149B">
        <w:rPr>
          <w:sz w:val="28"/>
          <w:szCs w:val="28"/>
        </w:rPr>
        <w:t>(</w:t>
      </w:r>
      <w:r w:rsidRPr="0032149B">
        <w:rPr>
          <w:sz w:val="28"/>
          <w:szCs w:val="28"/>
          <w:lang w:val="en-US"/>
        </w:rPr>
        <w:t>E</w:t>
      </w:r>
      <w:r w:rsidRPr="0032149B">
        <w:rPr>
          <w:sz w:val="28"/>
          <w:szCs w:val="28"/>
        </w:rPr>
        <w:t>)</w:t>
      </w:r>
      <w:proofErr w:type="spellStart"/>
      <w:r w:rsidRPr="0032149B">
        <w:rPr>
          <w:sz w:val="28"/>
          <w:szCs w:val="28"/>
          <w:lang w:val="en-US"/>
        </w:rPr>
        <w:t>dE</w:t>
      </w:r>
      <w:proofErr w:type="spellEnd"/>
      <w:r w:rsidRPr="0032149B">
        <w:rPr>
          <w:sz w:val="28"/>
          <w:szCs w:val="28"/>
        </w:rPr>
        <w:t>/</w:t>
      </w:r>
      <w:r w:rsidRPr="0032149B">
        <w:rPr>
          <w:sz w:val="28"/>
          <w:szCs w:val="28"/>
          <w:vertAlign w:val="subscript"/>
        </w:rPr>
        <w:t>0</w:t>
      </w:r>
      <w:r w:rsidRPr="0032149B">
        <w:rPr>
          <w:sz w:val="28"/>
          <w:szCs w:val="28"/>
        </w:rPr>
        <w:t>∫</w:t>
      </w:r>
      <w:r w:rsidRPr="0032149B">
        <w:rPr>
          <w:sz w:val="28"/>
          <w:szCs w:val="28"/>
          <w:vertAlign w:val="superscript"/>
        </w:rPr>
        <w:t>∞</w:t>
      </w:r>
      <w:r w:rsidRPr="0032149B">
        <w:rPr>
          <w:sz w:val="28"/>
          <w:szCs w:val="28"/>
          <w:lang w:val="en-US"/>
        </w:rPr>
        <w:t>g</w:t>
      </w:r>
      <w:r w:rsidRPr="0032149B">
        <w:rPr>
          <w:sz w:val="28"/>
          <w:szCs w:val="28"/>
        </w:rPr>
        <w:t>(</w:t>
      </w:r>
      <w:r w:rsidRPr="0032149B">
        <w:rPr>
          <w:sz w:val="28"/>
          <w:szCs w:val="28"/>
          <w:lang w:val="en-US"/>
        </w:rPr>
        <w:t>E</w:t>
      </w:r>
      <w:r w:rsidRPr="0032149B">
        <w:rPr>
          <w:sz w:val="28"/>
          <w:szCs w:val="28"/>
        </w:rPr>
        <w:t>)</w:t>
      </w:r>
      <w:r w:rsidRPr="0032149B">
        <w:rPr>
          <w:sz w:val="28"/>
          <w:szCs w:val="28"/>
          <w:lang w:val="en-US"/>
        </w:rPr>
        <w:t>f</w:t>
      </w:r>
      <w:r w:rsidRPr="0032149B">
        <w:rPr>
          <w:sz w:val="28"/>
          <w:szCs w:val="28"/>
        </w:rPr>
        <w:t>(</w:t>
      </w:r>
      <w:r w:rsidRPr="0032149B">
        <w:rPr>
          <w:sz w:val="28"/>
          <w:szCs w:val="28"/>
          <w:lang w:val="en-US"/>
        </w:rPr>
        <w:t>E</w:t>
      </w:r>
      <w:r w:rsidRPr="0032149B">
        <w:rPr>
          <w:sz w:val="28"/>
          <w:szCs w:val="28"/>
        </w:rPr>
        <w:t>)</w:t>
      </w:r>
      <w:proofErr w:type="spellStart"/>
      <w:r w:rsidRPr="0032149B">
        <w:rPr>
          <w:sz w:val="28"/>
          <w:szCs w:val="28"/>
          <w:lang w:val="en-US"/>
        </w:rPr>
        <w:t>dE</w:t>
      </w:r>
      <w:proofErr w:type="spellEnd"/>
      <w:r w:rsidRPr="0032149B">
        <w:rPr>
          <w:sz w:val="28"/>
          <w:szCs w:val="28"/>
        </w:rPr>
        <w:t xml:space="preserve"> = (3/5)</w:t>
      </w:r>
      <w:r w:rsidRPr="0032149B">
        <w:rPr>
          <w:sz w:val="28"/>
          <w:szCs w:val="28"/>
          <w:lang w:val="en-US"/>
        </w:rPr>
        <w:t>E</w:t>
      </w:r>
      <w:r w:rsidRPr="0032149B">
        <w:rPr>
          <w:sz w:val="28"/>
          <w:szCs w:val="28"/>
          <w:vertAlign w:val="subscript"/>
          <w:lang w:val="en-US"/>
        </w:rPr>
        <w:t>F</w:t>
      </w:r>
      <w:r w:rsidRPr="0032149B">
        <w:rPr>
          <w:sz w:val="28"/>
          <w:szCs w:val="28"/>
        </w:rPr>
        <w:t>.</w:t>
      </w:r>
    </w:p>
    <w:p w:rsidR="0032149B" w:rsidRDefault="0032149B" w:rsidP="0032149B">
      <w:pPr>
        <w:widowControl w:val="0"/>
        <w:spacing w:after="0" w:line="240" w:lineRule="auto"/>
        <w:ind w:left="-1418" w:right="5670"/>
      </w:pPr>
      <w:r>
        <w:t>4.</w:t>
      </w:r>
      <w:r w:rsidRPr="0032149B">
        <w:t xml:space="preserve"> </w:t>
      </w:r>
    </w:p>
    <w:p w:rsidR="0032149B" w:rsidRPr="00726A4C" w:rsidRDefault="0032149B" w:rsidP="000B4665">
      <w:pPr>
        <w:ind w:left="-1418" w:right="5215"/>
        <w:rPr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>
            <wp:extent cx="4237360" cy="522855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009" cy="523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665" w:rsidRDefault="000B4665" w:rsidP="000B4665">
      <w:pPr>
        <w:widowControl w:val="0"/>
        <w:spacing w:after="0" w:line="240" w:lineRule="auto"/>
        <w:ind w:left="-1418" w:right="5670"/>
        <w:rPr>
          <w:rFonts w:ascii="Times New Roman" w:hAnsi="Times New Roman"/>
          <w:sz w:val="18"/>
          <w:szCs w:val="18"/>
        </w:rPr>
      </w:pPr>
    </w:p>
    <w:p w:rsidR="002A668C" w:rsidRDefault="0032149B"/>
    <w:sectPr w:rsidR="002A668C" w:rsidSect="00301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characterSpacingControl w:val="doNotCompress"/>
  <w:compat/>
  <w:rsids>
    <w:rsidRoot w:val="000B4665"/>
    <w:rsid w:val="000B4665"/>
    <w:rsid w:val="0030192F"/>
    <w:rsid w:val="0032149B"/>
    <w:rsid w:val="009607C0"/>
    <w:rsid w:val="00E57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66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466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B4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466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4%D0%BE%D0%BD_%D0%9D%D0%B5%D0%B9%D0%BC%D0%B0%D0%BD,_%D0%94%D0%B6%D0%BE%D0%BD" TargetMode="External"/><Relationship Id="rId13" Type="http://schemas.openxmlformats.org/officeDocument/2006/relationships/hyperlink" Target="http://ru.wikipedia.org/w/index.php?title=%D0%A7%D0%B0%D1%81%D1%82%D0%B8%D1%86%D0%B0_%D0%B2_%D0%BA%D0%BE%D1%80%D0%BE%D0%B1%D0%BA%D0%B5&amp;action=edit&amp;redlink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/index.php?title=%D0%98%D0%B4%D0%B5%D0%B0%D0%BB%D1%8C%D0%BD%D0%BE%D0%B5_%D0%B8%D0%B7%D0%BC%D0%B5%D1%80%D0%B5%D0%BD%D0%B8%D0%B5&amp;action=edit&amp;redlink=1" TargetMode="External"/><Relationship Id="rId12" Type="http://schemas.openxmlformats.org/officeDocument/2006/relationships/hyperlink" Target="http://ru.wikipedia.org/wiki/%D0%9A%D0%BE%D1%80%D0%BF%D1%83%D1%81%D0%BA%D1%83%D0%BB%D1%8F%D1%80%D0%BD%D0%BE-%D0%B2%D0%BE%D0%BB%D0%BD%D0%BE%D0%B2%D0%BE%D0%B9_%D0%B4%D1%83%D0%B0%D0%BB%D0%B8%D0%B7%D0%BC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A1%D1%82%D0%B0%D1%82%D0%B8%D1%81%D1%82%D0%B8%D1%87%D0%B5%D1%81%D0%BA%D0%B0%D1%8F_%D0%B4%D0%B8%D1%81%D0%BF%D0%B5%D1%80%D1%81%D0%B8%D1%8F" TargetMode="External"/><Relationship Id="rId11" Type="http://schemas.openxmlformats.org/officeDocument/2006/relationships/hyperlink" Target="http://ru.wikipedia.org/wiki/%D0%92%D0%BE%D0%BB%D0%BD%D0%B0" TargetMode="External"/><Relationship Id="rId5" Type="http://schemas.openxmlformats.org/officeDocument/2006/relationships/hyperlink" Target="http://ru.wikipedia.org/wiki/%D0%9A%D0%B2%D0%B0%D0%BD%D1%82%D0%BE%D0%B2%D0%B0%D1%8F_%D0%BC%D0%B5%D1%85%D0%B0%D0%BD%D0%B8%D0%BA%D0%B0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://ru.wikipedia.org/wiki/%D0%AD%D0%BB%D0%B5%D0%BA%D1%82%D1%80%D0%B8%D1%87%D0%B5%D1%81%D0%BA%D0%B8%D0%B9_%D0%B7%D0%B0%D1%80%D1%8F%D0%B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B%D0%B0%D0%BD%D0%B4%D0%B0%D1%83,_%D0%9B%D0%B5%D0%B2_%D0%94%D0%B0%D0%B2%D0%B8%D0%B4%D0%BE%D0%B2%D0%B8%D1%87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E042D-EBD1-4355-A58D-58037EC44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</dc:creator>
  <cp:lastModifiedBy>паша</cp:lastModifiedBy>
  <cp:revision>1</cp:revision>
  <dcterms:created xsi:type="dcterms:W3CDTF">2016-01-09T21:01:00Z</dcterms:created>
  <dcterms:modified xsi:type="dcterms:W3CDTF">2016-01-10T00:35:00Z</dcterms:modified>
</cp:coreProperties>
</file>