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B9C" w:rsidRPr="00532B9C" w:rsidRDefault="00532B9C" w:rsidP="00C36AD3">
      <w:pPr>
        <w:shd w:val="clear" w:color="auto" w:fill="F7F7F7"/>
        <w:spacing w:before="120" w:after="120" w:line="248" w:lineRule="atLeast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  <w:lang w:eastAsia="ru-RU"/>
        </w:rPr>
      </w:pPr>
      <w:bookmarkStart w:id="0" w:name="_GoBack"/>
      <w:r w:rsidRPr="00532B9C">
        <w:rPr>
          <w:b/>
          <w:spacing w:val="-4"/>
          <w:sz w:val="32"/>
          <w:szCs w:val="32"/>
        </w:rPr>
        <w:t>38.</w:t>
      </w:r>
      <w:r w:rsidRPr="00532B9C">
        <w:rPr>
          <w:b/>
          <w:spacing w:val="-4"/>
          <w:sz w:val="32"/>
          <w:szCs w:val="32"/>
        </w:rPr>
        <w:t>Замена переменных в двойном интеграле. Полярные координаты</w:t>
      </w:r>
    </w:p>
    <w:bookmarkEnd w:id="0"/>
    <w:p w:rsidR="00532B9C" w:rsidRDefault="00532B9C" w:rsidP="00C36AD3">
      <w:pPr>
        <w:shd w:val="clear" w:color="auto" w:fill="F7F7F7"/>
        <w:spacing w:before="120" w:after="120" w:line="248" w:lineRule="atLeast"/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  <w:lang w:eastAsia="ru-RU"/>
        </w:rPr>
      </w:pPr>
    </w:p>
    <w:p w:rsidR="00532B9C" w:rsidRDefault="00532B9C" w:rsidP="00C36AD3">
      <w:pPr>
        <w:shd w:val="clear" w:color="auto" w:fill="F7F7F7"/>
        <w:spacing w:before="120" w:after="120" w:line="248" w:lineRule="atLeast"/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  <w:lang w:eastAsia="ru-RU"/>
        </w:rPr>
      </w:pPr>
    </w:p>
    <w:p w:rsidR="00C36AD3" w:rsidRPr="00C36AD3" w:rsidRDefault="00C36AD3" w:rsidP="00C36AD3">
      <w:pPr>
        <w:shd w:val="clear" w:color="auto" w:fill="F7F7F7"/>
        <w:spacing w:before="120" w:after="120" w:line="248" w:lineRule="atLeast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C36AD3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  <w:lang w:eastAsia="ru-RU"/>
        </w:rPr>
        <w:t>Замена переменных в двойных интегралах</w:t>
      </w:r>
      <w:r w:rsidRPr="00C36AD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. Если непрерывно дифференцируемые функции (19.9) осуществляют взаимно однозначное отображение области</w:t>
      </w:r>
      <w:r w:rsidRPr="00C36AD3">
        <w:rPr>
          <w:rFonts w:ascii="Times New Roman" w:eastAsia="Times New Roman" w:hAnsi="Times New Roman" w:cs="Times New Roman"/>
          <w:color w:val="000000"/>
          <w:sz w:val="23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71450" cy="180975"/>
            <wp:effectExtent l="19050" t="0" r="0" b="0"/>
            <wp:docPr id="1" name="Рисунок 1" descr="http://matica.org.ua/images/stories/Gusak/0-77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tica.org.ua/images/stories/Gusak/0-772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36AD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Плоскости</w:t>
      </w:r>
      <w:proofErr w:type="gramStart"/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352425" cy="219075"/>
            <wp:effectExtent l="19050" t="0" r="9525" b="0"/>
            <wp:docPr id="2" name="Рисунок 2" descr="http://matica.org.ua/images/stories/Gusak/0-77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atica.org.ua/images/stories/Gusak/0-772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36AD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Н</w:t>
      </w:r>
      <w:proofErr w:type="gramEnd"/>
      <w:r w:rsidRPr="00C36AD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а область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219075" cy="200025"/>
            <wp:effectExtent l="19050" t="0" r="9525" b="0"/>
            <wp:docPr id="3" name="Рисунок 3" descr="http://matica.org.ua/images/stories/Gusak/0-77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atica.org.ua/images/stories/Gusak/0-772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36AD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Плоскости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400050" cy="209550"/>
            <wp:effectExtent l="19050" t="0" r="0" b="0"/>
            <wp:docPr id="4" name="Рисунок 4" descr="http://matica.org.ua/images/stories/Gusak/0-77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atica.org.ua/images/stories/Gusak/0-772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36AD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, то</w:t>
      </w:r>
    </w:p>
    <w:p w:rsidR="00C36AD3" w:rsidRPr="00C36AD3" w:rsidRDefault="00C36AD3" w:rsidP="00C36AD3">
      <w:pPr>
        <w:shd w:val="clear" w:color="auto" w:fill="F7F7F7"/>
        <w:spacing w:before="120" w:after="120" w:line="248" w:lineRule="atLeast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3838575" cy="590550"/>
            <wp:effectExtent l="19050" t="0" r="9525" b="0"/>
            <wp:docPr id="5" name="Рисунок 5" descr="http://matica.org.ua/images/stories/Gusak/0-77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atica.org.ua/images/stories/Gusak/0-7727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AD3" w:rsidRPr="00C36AD3" w:rsidRDefault="00C36AD3" w:rsidP="00C36AD3">
      <w:pPr>
        <w:shd w:val="clear" w:color="auto" w:fill="F7F7F7"/>
        <w:spacing w:before="120" w:after="120" w:line="248" w:lineRule="atLeast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C36AD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Где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581025" cy="247650"/>
            <wp:effectExtent l="19050" t="0" r="9525" b="0"/>
            <wp:docPr id="6" name="Рисунок 6" descr="http://matica.org.ua/images/stories/Gusak/0-77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atica.org.ua/images/stories/Gusak/0-7728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36AD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- функциональный определитель (якобиан):</w:t>
      </w:r>
    </w:p>
    <w:p w:rsidR="00C36AD3" w:rsidRPr="00C36AD3" w:rsidRDefault="00C36AD3" w:rsidP="00C36A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076575" cy="857250"/>
            <wp:effectExtent l="19050" t="0" r="9525" b="0"/>
            <wp:docPr id="7" name="Рисунок 7" descr="http://matica.org.ua/images/stories/Gusak/0-77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atica.org.ua/images/stories/Gusak/0-7729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AD3" w:rsidRPr="00C36AD3" w:rsidRDefault="00C36AD3" w:rsidP="00C36AD3">
      <w:pPr>
        <w:shd w:val="clear" w:color="auto" w:fill="F7F7F7"/>
        <w:spacing w:before="120" w:after="120" w:line="248" w:lineRule="atLeast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C36AD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В случае перехода к полярным координатам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2314575" cy="238125"/>
            <wp:effectExtent l="19050" t="0" r="9525" b="0"/>
            <wp:docPr id="8" name="Рисунок 8" descr="http://matica.org.ua/images/stories/Gusak/0-77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matica.org.ua/images/stories/Gusak/0-7730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36AD3">
        <w:rPr>
          <w:rFonts w:ascii="Times New Roman" w:eastAsia="Times New Roman" w:hAnsi="Times New Roman" w:cs="Times New Roman"/>
          <w:color w:val="000000"/>
          <w:sz w:val="23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формула (19.10) принимает ви</w:t>
      </w:r>
      <w:r w:rsidRPr="00C36AD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д</w:t>
      </w:r>
    </w:p>
    <w:p w:rsidR="00C36AD3" w:rsidRPr="00C36AD3" w:rsidRDefault="00C36AD3" w:rsidP="00C36AD3">
      <w:pPr>
        <w:shd w:val="clear" w:color="auto" w:fill="F7F7F7"/>
        <w:spacing w:before="120" w:after="120" w:line="248" w:lineRule="atLeast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3514725" cy="561975"/>
            <wp:effectExtent l="19050" t="0" r="9525" b="0"/>
            <wp:docPr id="9" name="Рисунок 9" descr="http://matica.org.ua/images/stories/Gusak/0-77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matica.org.ua/images/stories/Gusak/0-773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4BD" w:rsidRPr="00532B9C" w:rsidRDefault="00D31064" w:rsidP="00C36AD3">
      <w:pPr>
        <w:ind w:left="-142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Полярная система координат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 — двухмерная система координат, в которой каждая точка на плоскости определяется двумя числами — полярным углом и полярным радиусом</w:t>
      </w:r>
    </w:p>
    <w:p w:rsidR="00D31064" w:rsidRPr="00D31064" w:rsidRDefault="00D31064" w:rsidP="00D31064">
      <w:pPr>
        <w:spacing w:before="100" w:beforeAutospacing="1" w:after="100" w:afterAutospacing="1" w:line="240" w:lineRule="auto"/>
        <w:ind w:firstLine="40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D3106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Если область </w:t>
      </w:r>
      <w:r w:rsidRPr="00D31064">
        <w:rPr>
          <w:rFonts w:ascii="Arial" w:eastAsia="Times New Roman" w:hAnsi="Arial" w:cs="Arial"/>
          <w:b/>
          <w:bCs/>
          <w:i/>
          <w:iCs/>
          <w:color w:val="153463"/>
          <w:sz w:val="28"/>
          <w:szCs w:val="28"/>
          <w:lang w:eastAsia="ru-RU"/>
        </w:rPr>
        <w:t>D</w:t>
      </w:r>
      <w:r w:rsidRPr="00D3106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 - является правильной в полярной системе координат </w:t>
      </w:r>
      <w:proofErr w:type="spellStart"/>
      <w:r w:rsidRPr="00D31064">
        <w:rPr>
          <w:rFonts w:ascii="Arial" w:eastAsia="Times New Roman" w:hAnsi="Arial" w:cs="Arial"/>
          <w:b/>
          <w:bCs/>
          <w:i/>
          <w:iCs/>
          <w:color w:val="153463"/>
          <w:sz w:val="28"/>
          <w:szCs w:val="28"/>
          <w:lang w:eastAsia="ru-RU"/>
        </w:rPr>
        <w:t>О</w:t>
      </w:r>
      <w:proofErr w:type="gramStart"/>
      <w:r w:rsidRPr="00D31064">
        <w:rPr>
          <w:rFonts w:ascii="Arial" w:eastAsia="Times New Roman" w:hAnsi="Arial" w:cs="Arial"/>
          <w:b/>
          <w:bCs/>
          <w:i/>
          <w:iCs/>
          <w:color w:val="153463"/>
          <w:sz w:val="28"/>
          <w:szCs w:val="28"/>
          <w:lang w:eastAsia="ru-RU"/>
        </w:rPr>
        <w:t>r</w:t>
      </w:r>
      <w:proofErr w:type="gramEnd"/>
      <w:r w:rsidRPr="00D31064">
        <w:rPr>
          <w:rFonts w:ascii="Arial" w:eastAsia="Times New Roman" w:hAnsi="Arial" w:cs="Arial"/>
          <w:b/>
          <w:bCs/>
          <w:i/>
          <w:iCs/>
          <w:color w:val="153463"/>
          <w:sz w:val="28"/>
          <w:szCs w:val="28"/>
          <w:lang w:eastAsia="ru-RU"/>
        </w:rPr>
        <w:t>φ</w:t>
      </w:r>
      <w:proofErr w:type="spellEnd"/>
      <w:r w:rsidRPr="00D3106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, то двойной интеграл в этих координатах вычисляется так</w:t>
      </w:r>
      <w:r w:rsidRPr="00D31064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:</w:t>
      </w:r>
    </w:p>
    <w:p w:rsidR="00D31064" w:rsidRPr="00D31064" w:rsidRDefault="00D31064" w:rsidP="00D31064">
      <w:pPr>
        <w:spacing w:after="0" w:line="240" w:lineRule="auto"/>
        <w:jc w:val="center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>
        <w:rPr>
          <w:rFonts w:ascii="Arial" w:eastAsia="Times New Roman" w:hAnsi="Arial" w:cs="Arial"/>
          <w:noProof/>
          <w:color w:val="333333"/>
          <w:sz w:val="18"/>
          <w:szCs w:val="18"/>
          <w:lang w:eastAsia="ru-RU"/>
        </w:rPr>
        <w:drawing>
          <wp:inline distT="0" distB="0" distL="0" distR="0">
            <wp:extent cx="4819650" cy="914400"/>
            <wp:effectExtent l="0" t="0" r="0" b="0"/>
            <wp:docPr id="19" name="Рисунок 19" descr="formula-2.8-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ormula-2.8-0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064" w:rsidRPr="00D31064" w:rsidRDefault="00D31064" w:rsidP="00C36AD3">
      <w:pPr>
        <w:ind w:left="-142"/>
        <w:rPr>
          <w:lang w:val="en-US"/>
        </w:rPr>
      </w:pPr>
    </w:p>
    <w:sectPr w:rsidR="00D31064" w:rsidRPr="00D31064" w:rsidSect="00C36AD3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36AD3"/>
    <w:rsid w:val="000904BD"/>
    <w:rsid w:val="00532B9C"/>
    <w:rsid w:val="00C36AD3"/>
    <w:rsid w:val="00D3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04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6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36AD3"/>
  </w:style>
  <w:style w:type="paragraph" w:styleId="a4">
    <w:name w:val="Balloon Text"/>
    <w:basedOn w:val="a"/>
    <w:link w:val="a5"/>
    <w:uiPriority w:val="99"/>
    <w:semiHidden/>
    <w:unhideWhenUsed/>
    <w:rsid w:val="00C36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6AD3"/>
    <w:rPr>
      <w:rFonts w:ascii="Tahoma" w:hAnsi="Tahoma" w:cs="Tahoma"/>
      <w:sz w:val="16"/>
      <w:szCs w:val="16"/>
    </w:rPr>
  </w:style>
  <w:style w:type="paragraph" w:customStyle="1" w:styleId="maintext">
    <w:name w:val="maintext"/>
    <w:basedOn w:val="a"/>
    <w:rsid w:val="00D31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D3106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</dc:creator>
  <cp:lastModifiedBy>Максим Зинкевич</cp:lastModifiedBy>
  <cp:revision>2</cp:revision>
  <dcterms:created xsi:type="dcterms:W3CDTF">2015-06-07T10:41:00Z</dcterms:created>
  <dcterms:modified xsi:type="dcterms:W3CDTF">2015-06-07T10:41:00Z</dcterms:modified>
</cp:coreProperties>
</file>