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F0" w:rsidRPr="00D63FF0" w:rsidRDefault="00D63FF0" w:rsidP="00D63FF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</w:pPr>
      <w:r w:rsidRPr="00D63FF0"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  <w:t>Параллельное соединение RLC-элементов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Для параллельного соединения RLC-элементов (рис. 1) справедливо уравнение первого закона Кирхгофа. Для комплексных токов: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148080" cy="191135"/>
            <wp:effectExtent l="19050" t="0" r="0" b="0"/>
            <wp:docPr id="1" name="Рисунок 1" descr="http://freewriters.narod.ru/olderfiles/141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writers.narod.ru/olderfiles/141/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где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4773930" cy="403860"/>
            <wp:effectExtent l="19050" t="0" r="7620" b="0"/>
            <wp:docPr id="2" name="Рисунок 2" descr="http://freewriters.narod.ru/olderfiles/14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eewriters.narod.ru/olderfiles/141/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 - соответственно активная, индуктивная и емкостная проводимости отдельных ветвей цепи.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722755" cy="1530985"/>
            <wp:effectExtent l="19050" t="0" r="0" b="0"/>
            <wp:docPr id="3" name="Рисунок 3" descr="http://freewriters.narod.ru/olderfiles/141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eewriters.narod.ru/olderfiles/141/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Рис. 1.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Тогда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477645" cy="436245"/>
            <wp:effectExtent l="19050" t="0" r="8255" b="0"/>
            <wp:docPr id="4" name="Рисунок 4" descr="http://freewriters.narod.ru/olderfiles/141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reewriters.narod.ru/olderfiles/141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где B</w:t>
      </w:r>
      <w:r w:rsidRPr="00D63FF0">
        <w:rPr>
          <w:rFonts w:ascii="Verdana" w:eastAsia="Times New Roman" w:hAnsi="Verdana" w:cs="Times New Roman"/>
          <w:color w:val="000000"/>
          <w:vertAlign w:val="subscript"/>
        </w:rPr>
        <w:t>L</w:t>
      </w:r>
      <w:r w:rsidRPr="00D63FF0">
        <w:rPr>
          <w:rFonts w:ascii="Verdana" w:eastAsia="Times New Roman" w:hAnsi="Verdana" w:cs="Times New Roman"/>
          <w:color w:val="000000"/>
        </w:rPr>
        <w:t> - B</w:t>
      </w:r>
      <w:r w:rsidRPr="00D63FF0">
        <w:rPr>
          <w:rFonts w:ascii="Verdana" w:eastAsia="Times New Roman" w:hAnsi="Verdana" w:cs="Times New Roman"/>
          <w:color w:val="000000"/>
          <w:vertAlign w:val="subscript"/>
        </w:rPr>
        <w:t>C</w:t>
      </w:r>
      <w:r w:rsidRPr="00D63FF0">
        <w:rPr>
          <w:rFonts w:ascii="Verdana" w:eastAsia="Times New Roman" w:hAnsi="Verdana" w:cs="Times New Roman"/>
          <w:color w:val="000000"/>
        </w:rPr>
        <w:t> = B - результирующая реактивная проводимость, а выражение в скобках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861060" cy="201930"/>
            <wp:effectExtent l="19050" t="0" r="0" b="0"/>
            <wp:docPr id="5" name="Рисунок 5" descr="http://freewriters.narod.ru/olderfiles/141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writers.narod.ru/olderfiles/141/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- комплексная проводимость.</w:t>
      </w:r>
      <w:r w:rsidRPr="00D63FF0">
        <w:rPr>
          <w:rFonts w:ascii="Verdana" w:eastAsia="Times New Roman" w:hAnsi="Verdana" w:cs="Times New Roman"/>
          <w:color w:val="000000"/>
        </w:rPr>
        <w:br/>
        <w:t>Здесь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988695" cy="266065"/>
            <wp:effectExtent l="19050" t="0" r="1905" b="0"/>
            <wp:docPr id="6" name="Рисунок 6" descr="http://freewriters.narod.ru/olderfiles/141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reewriters.narod.ru/olderfiles/141/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 - модуль комплексной проводимости, а величина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158875" cy="201930"/>
            <wp:effectExtent l="19050" t="0" r="3175" b="0"/>
            <wp:docPr id="7" name="Рисунок 7" descr="http://freewriters.narod.ru/olderfiles/141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reewriters.narod.ru/olderfiles/141/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 - аргумент.</w:t>
      </w:r>
      <w:r w:rsidRPr="00D63FF0">
        <w:rPr>
          <w:rFonts w:ascii="Verdana" w:eastAsia="Times New Roman" w:hAnsi="Verdana" w:cs="Times New Roman"/>
          <w:color w:val="000000"/>
        </w:rPr>
        <w:br/>
        <w:t>Ток в неразветвленной части цепи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659130" cy="180975"/>
            <wp:effectExtent l="19050" t="0" r="7620" b="0"/>
            <wp:docPr id="8" name="Рисунок 8" descr="http://freewriters.narod.ru/olderfiles/141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reewriters.narod.ru/olderfiles/141/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Построим векторные диаграммы в соответствии с уравнением первого закона Кирхгофа (рис. 2, а, б). Диаграмма (а) соответствует режиму, когда реактивная проводимость В &lt; 0. В цепи преобладает индуктивная проводимость, ток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16840" cy="180975"/>
            <wp:effectExtent l="19050" t="0" r="0" b="0"/>
            <wp:docPr id="9" name="Рисунок 9" descr="http://freewriters.narod.ru/olderfiles/141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reewriters.narod.ru/olderfiles/141/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 отстает от напряжения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38430" cy="170180"/>
            <wp:effectExtent l="19050" t="0" r="0" b="0"/>
            <wp:docPr id="10" name="Рисунок 10" descr="http://freewriters.narod.ru/olderfiles/141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reewriters.narod.ru/olderfiles/141/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, </w:t>
      </w:r>
      <w:hyperlink r:id="rId14" w:history="1">
        <w:r w:rsidRPr="00D63FF0">
          <w:rPr>
            <w:rFonts w:ascii="Verdana" w:eastAsia="Times New Roman" w:hAnsi="Verdana" w:cs="Times New Roman"/>
            <w:color w:val="0069A9"/>
            <w:u w:val="single"/>
          </w:rPr>
          <w:t>сдвиг фаз</w:t>
        </w:r>
      </w:hyperlink>
      <w:r w:rsidRPr="00D63FF0">
        <w:rPr>
          <w:rFonts w:ascii="Verdana" w:eastAsia="Times New Roman" w:hAnsi="Verdana" w:cs="Times New Roman"/>
          <w:color w:val="000000"/>
        </w:rPr>
        <w:t> положительный. Диаграмма (б) для случая, когда В &gt; 0. В цепи преобладает емкостная проводимость, ток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16840" cy="180975"/>
            <wp:effectExtent l="19050" t="0" r="0" b="0"/>
            <wp:docPr id="11" name="Рисунок 11" descr="http://freewriters.narod.ru/olderfiles/141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reewriters.narod.ru/olderfiles/141/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 опережает напряжение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38430" cy="170180"/>
            <wp:effectExtent l="19050" t="0" r="0" b="0"/>
            <wp:docPr id="12" name="Рисунок 12" descr="http://freewriters.narod.ru/olderfiles/141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reewriters.narod.ru/olderfiles/141/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, сдвиг фаз отрицательный. Из треугольника токов (рис. 2, а, б) можно получить треугольник проводимостей (рис. 2, в, г), если каждую сторону треугольника токов поделить на напряжение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138430" cy="170180"/>
            <wp:effectExtent l="19050" t="0" r="0" b="0"/>
            <wp:docPr id="13" name="Рисунок 13" descr="http://freewriters.narod.ru/olderfiles/141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reewriters.narod.ru/olderfiles/141/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FF0">
        <w:rPr>
          <w:rFonts w:ascii="Verdana" w:eastAsia="Times New Roman" w:hAnsi="Verdana" w:cs="Times New Roman"/>
          <w:color w:val="000000"/>
        </w:rPr>
        <w:t>.</w:t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lastRenderedPageBreak/>
        <w:drawing>
          <wp:inline distT="0" distB="0" distL="0" distR="0">
            <wp:extent cx="5199380" cy="3126105"/>
            <wp:effectExtent l="19050" t="0" r="1270" b="0"/>
            <wp:docPr id="14" name="Рисунок 14" descr="http://freewriters.narod.ru/olderfiles/14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reewriters.narod.ru/olderfiles/141/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F0" w:rsidRPr="00D63FF0" w:rsidRDefault="00D63FF0" w:rsidP="00D63FF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</w:rPr>
      </w:pPr>
      <w:r w:rsidRPr="00D63FF0">
        <w:rPr>
          <w:rFonts w:ascii="Verdana" w:eastAsia="Times New Roman" w:hAnsi="Verdana" w:cs="Times New Roman"/>
          <w:color w:val="000000"/>
        </w:rPr>
        <w:t>Рис. 2.</w:t>
      </w:r>
    </w:p>
    <w:p w:rsidR="00000000" w:rsidRDefault="00D63FF0"/>
    <w:p w:rsidR="00D63FF0" w:rsidRDefault="00D63FF0"/>
    <w:p w:rsidR="00D63FF0" w:rsidRDefault="00D63FF0"/>
    <w:p w:rsidR="00D63FF0" w:rsidRDefault="00D63FF0"/>
    <w:p w:rsidR="00D63FF0" w:rsidRDefault="00D63FF0" w:rsidP="00D63FF0">
      <w:pPr>
        <w:pStyle w:val="2"/>
        <w:shd w:val="clear" w:color="auto" w:fill="FFFFFF"/>
        <w:spacing w:before="0"/>
        <w:rPr>
          <w:rFonts w:ascii="Verdana" w:hAnsi="Verdana"/>
          <w:color w:val="121212"/>
          <w:sz w:val="34"/>
          <w:szCs w:val="34"/>
        </w:rPr>
      </w:pPr>
      <w:r>
        <w:rPr>
          <w:rStyle w:val="a7"/>
          <w:rFonts w:ascii="Verdana" w:hAnsi="Verdana"/>
          <w:b/>
          <w:bCs/>
          <w:color w:val="121212"/>
          <w:sz w:val="27"/>
          <w:szCs w:val="27"/>
        </w:rPr>
        <w:t>Резонанс токов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Резонанс токов возникает в цепи с параллельно соединёнными катушкой резистором и конденсатором.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3211195" cy="1286510"/>
            <wp:effectExtent l="19050" t="0" r="8255" b="0"/>
            <wp:docPr id="29" name="Рисунок 29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D2023"/>
          <w:sz w:val="23"/>
          <w:szCs w:val="23"/>
        </w:rPr>
        <w:t> 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 xml:space="preserve">  Условием возникновения резонанса токов является равенство частоты источника резонансной частоте </w:t>
      </w:r>
      <w:proofErr w:type="spellStart"/>
      <w:r>
        <w:rPr>
          <w:rFonts w:ascii="Verdana" w:hAnsi="Verdana"/>
          <w:color w:val="1D2023"/>
          <w:sz w:val="23"/>
          <w:szCs w:val="23"/>
        </w:rPr>
        <w:t>w=w</w:t>
      </w:r>
      <w:r>
        <w:rPr>
          <w:rFonts w:ascii="Verdana" w:hAnsi="Verdana"/>
          <w:color w:val="1D2023"/>
          <w:sz w:val="23"/>
          <w:szCs w:val="23"/>
          <w:vertAlign w:val="subscript"/>
        </w:rPr>
        <w:t>р</w:t>
      </w:r>
      <w:proofErr w:type="spellEnd"/>
      <w:r>
        <w:rPr>
          <w:rFonts w:ascii="Verdana" w:hAnsi="Verdana"/>
          <w:color w:val="1D2023"/>
          <w:sz w:val="23"/>
          <w:szCs w:val="23"/>
        </w:rPr>
        <w:t>, следовательно проводимости B</w:t>
      </w:r>
      <w:r>
        <w:rPr>
          <w:rFonts w:ascii="Verdana" w:hAnsi="Verdana"/>
          <w:color w:val="1D2023"/>
          <w:sz w:val="23"/>
          <w:szCs w:val="23"/>
          <w:vertAlign w:val="subscript"/>
        </w:rPr>
        <w:t>L</w:t>
      </w:r>
      <w:r>
        <w:rPr>
          <w:rFonts w:ascii="Verdana" w:hAnsi="Verdana"/>
          <w:color w:val="1D2023"/>
          <w:sz w:val="23"/>
          <w:szCs w:val="23"/>
        </w:rPr>
        <w:t>=B</w:t>
      </w:r>
      <w:r>
        <w:rPr>
          <w:rFonts w:ascii="Verdana" w:hAnsi="Verdana"/>
          <w:color w:val="1D2023"/>
          <w:sz w:val="23"/>
          <w:szCs w:val="23"/>
          <w:vertAlign w:val="subscript"/>
        </w:rPr>
        <w:t>C</w:t>
      </w:r>
      <w:r>
        <w:rPr>
          <w:rFonts w:ascii="Verdana" w:hAnsi="Verdana"/>
          <w:color w:val="1D2023"/>
          <w:sz w:val="23"/>
          <w:szCs w:val="23"/>
        </w:rPr>
        <w:t>. То есть при резонансе токов, ёмкостная и индуктивная проводимости равны.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Для наглядности графика, на время отвлечёмся от проводимости и перейдём к сопротивлению. При увеличении частоты полное сопротивление цепи растёт, а ток уменьшается. В момент, когда частота равна резонансной, сопротивление Z максимально, следовательно, ток в цепи принимает наименьшее значение и равен активной составляющей.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lastRenderedPageBreak/>
        <w:drawing>
          <wp:inline distT="0" distB="0" distL="0" distR="0">
            <wp:extent cx="2860040" cy="2647315"/>
            <wp:effectExtent l="19050" t="0" r="0" b="0"/>
            <wp:docPr id="30" name="Рисунок 30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D2023"/>
          <w:sz w:val="23"/>
          <w:szCs w:val="23"/>
        </w:rPr>
        <w:t> 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Выразим резонансную частоту 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190115" cy="1680210"/>
            <wp:effectExtent l="19050" t="0" r="635" b="0"/>
            <wp:docPr id="31" name="Рисунок 31" descr="http://electroandi.ru/images/rezonans-napryazhenij-i-rezonans-tokov/rezonans-napryazhenij-i-rezonans-tokov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lectroandi.ru/images/rezonans-napryazhenij-i-rezonans-tokov/rezonans-napryazhenij-i-rezonans-tokov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D2023"/>
          <w:sz w:val="23"/>
          <w:szCs w:val="23"/>
        </w:rPr>
        <w:t>  Как видно из выражения, резонансная частота определяется, как и в случае с резонансом напряжений.</w:t>
      </w:r>
    </w:p>
    <w:p w:rsidR="00D63FF0" w:rsidRDefault="00D63FF0" w:rsidP="00D63FF0">
      <w:pPr>
        <w:pStyle w:val="a3"/>
        <w:shd w:val="clear" w:color="auto" w:fill="FFFFFF"/>
        <w:spacing w:before="0" w:beforeAutospacing="0" w:after="167" w:afterAutospacing="0" w:line="352" w:lineRule="atLeast"/>
        <w:rPr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color w:val="1D2023"/>
          <w:sz w:val="23"/>
          <w:szCs w:val="23"/>
        </w:rPr>
        <w:t>  Явление резонанса может носить как положительный, так и отрицательный характер. Например, любой радиоприемник имеет в своей основе колебательный контур, который с помощью изменения индуктивности или емкости настраивают на нужную радиоволну. С другой стороны, явление резонанса может привести к скачкам напряжения или тока в цепи, что в свою очередь приводит к аварии.</w:t>
      </w:r>
    </w:p>
    <w:p w:rsidR="00D63FF0" w:rsidRDefault="00D63FF0"/>
    <w:sectPr w:rsidR="00D6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63FF0"/>
    <w:rsid w:val="00D6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63FF0"/>
  </w:style>
  <w:style w:type="character" w:styleId="a4">
    <w:name w:val="Hyperlink"/>
    <w:basedOn w:val="a0"/>
    <w:uiPriority w:val="99"/>
    <w:semiHidden/>
    <w:unhideWhenUsed/>
    <w:rsid w:val="00D63FF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FF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63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Strong"/>
    <w:basedOn w:val="a0"/>
    <w:uiPriority w:val="22"/>
    <w:qFormat/>
    <w:rsid w:val="00D63F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freewriters.narod.ru/index/faza/0-1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2016-06-22T09:58:00Z</dcterms:created>
  <dcterms:modified xsi:type="dcterms:W3CDTF">2016-06-22T09:58:00Z</dcterms:modified>
</cp:coreProperties>
</file>