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3C" w:rsidRPr="0064433C" w:rsidRDefault="0064433C" w:rsidP="006443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44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Метод эквивалентного генератора </w:t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 При решении задач по электротехнике, зачастую требуется знать режим работы не всей цепи, а только одной определённой ветви. Для определения параметров такой ветви существует </w:t>
      </w:r>
      <w:r w:rsidRPr="0064433C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метод эквивалентного генератора</w:t>
      </w: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.</w:t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 Суть метода эквивалентного генератора состоит в нахождении тока в одной выделенной ветви, при этом остальная часть сложной электрической цепи заменяется эквивалентным ЭДС </w:t>
      </w:r>
      <w:proofErr w:type="spell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Е</w:t>
      </w:r>
      <w:r w:rsidRPr="0064433C">
        <w:rPr>
          <w:rFonts w:ascii="Verdana" w:eastAsia="Times New Roman" w:hAnsi="Verdana" w:cs="Times New Roman"/>
          <w:sz w:val="24"/>
          <w:szCs w:val="24"/>
          <w:vertAlign w:val="subscript"/>
          <w:lang w:eastAsia="ru-RU"/>
        </w:rPr>
        <w:t>экв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, с её внутренним сопротивлением </w:t>
      </w:r>
      <w:proofErr w:type="spellStart"/>
      <w:proofErr w:type="gram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r</w:t>
      </w:r>
      <w:proofErr w:type="gramEnd"/>
      <w:r w:rsidRPr="0064433C">
        <w:rPr>
          <w:rFonts w:ascii="Verdana" w:eastAsia="Times New Roman" w:hAnsi="Verdana" w:cs="Times New Roman"/>
          <w:sz w:val="24"/>
          <w:szCs w:val="24"/>
          <w:vertAlign w:val="subscript"/>
          <w:lang w:eastAsia="ru-RU"/>
        </w:rPr>
        <w:t>экв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. При этом часть цепи, в которую входит </w:t>
      </w:r>
      <w:hyperlink r:id="rId6" w:history="1">
        <w:r w:rsidRPr="0064433C">
          <w:rPr>
            <w:rFonts w:ascii="Verdana" w:eastAsia="Times New Roman" w:hAnsi="Verdana" w:cs="Times New Roman"/>
            <w:color w:val="0000FF"/>
            <w:sz w:val="21"/>
            <w:szCs w:val="21"/>
            <w:u w:val="single"/>
            <w:lang w:eastAsia="ru-RU"/>
          </w:rPr>
          <w:t>источник ЭДС</w:t>
        </w:r>
      </w:hyperlink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называют эквивалентным генератором или активным двухполюсником, откуда и название метода.</w:t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  Для наглядности рассмотрим схему представленную ниже. Допустим, что R</w:t>
      </w:r>
      <w:r w:rsidRPr="0064433C">
        <w:rPr>
          <w:rFonts w:ascii="Verdana" w:eastAsia="Times New Roman" w:hAnsi="Verdana" w:cs="Times New Roman"/>
          <w:sz w:val="21"/>
          <w:szCs w:val="21"/>
          <w:vertAlign w:val="subscript"/>
          <w:lang w:eastAsia="ru-RU"/>
        </w:rPr>
        <w:t>1</w:t>
      </w: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=5 Ом, R</w:t>
      </w:r>
      <w:r w:rsidRPr="0064433C">
        <w:rPr>
          <w:rFonts w:ascii="Verdana" w:eastAsia="Times New Roman" w:hAnsi="Verdana" w:cs="Times New Roman"/>
          <w:sz w:val="21"/>
          <w:szCs w:val="21"/>
          <w:vertAlign w:val="subscript"/>
          <w:lang w:eastAsia="ru-RU"/>
        </w:rPr>
        <w:t>2</w:t>
      </w: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=7 Ом, R</w:t>
      </w:r>
      <w:r w:rsidRPr="0064433C">
        <w:rPr>
          <w:rFonts w:ascii="Verdana" w:eastAsia="Times New Roman" w:hAnsi="Verdana" w:cs="Times New Roman"/>
          <w:sz w:val="21"/>
          <w:szCs w:val="21"/>
          <w:vertAlign w:val="subscript"/>
          <w:lang w:eastAsia="ru-RU"/>
        </w:rPr>
        <w:t>3</w:t>
      </w: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=10 Ом, </w:t>
      </w:r>
      <w:proofErr w:type="spell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R</w:t>
      </w:r>
      <w:r w:rsidRPr="0064433C">
        <w:rPr>
          <w:rFonts w:ascii="Verdana" w:eastAsia="Times New Roman" w:hAnsi="Verdana" w:cs="Times New Roman"/>
          <w:sz w:val="21"/>
          <w:szCs w:val="21"/>
          <w:vertAlign w:val="subscript"/>
          <w:lang w:eastAsia="ru-RU"/>
        </w:rPr>
        <w:t>ab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=3 Ом, E=10 В.</w:t>
      </w:r>
    </w:p>
    <w:p w:rsidR="0064433C" w:rsidRPr="0064433C" w:rsidRDefault="0064433C" w:rsidP="00644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sz w:val="21"/>
          <w:szCs w:val="21"/>
          <w:lang w:eastAsia="ru-RU"/>
        </w:rPr>
        <w:drawing>
          <wp:inline distT="0" distB="0" distL="0" distR="0">
            <wp:extent cx="3268345" cy="2320290"/>
            <wp:effectExtent l="0" t="0" r="8255" b="3810"/>
            <wp:docPr id="8" name="Рисунок 8" descr="http://electroandi.ru/images/ekvgen/ekv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ctroandi.ru/images/ekvgen/ekvgen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 </w:t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  Согласно методу эквивалентного генератора получим схему</w:t>
      </w:r>
    </w:p>
    <w:p w:rsidR="0064433C" w:rsidRPr="0064433C" w:rsidRDefault="0064433C" w:rsidP="00644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sz w:val="21"/>
          <w:szCs w:val="21"/>
          <w:lang w:eastAsia="ru-RU"/>
        </w:rPr>
        <w:drawing>
          <wp:inline distT="0" distB="0" distL="0" distR="0">
            <wp:extent cx="2988945" cy="1835785"/>
            <wp:effectExtent l="0" t="0" r="1905" b="0"/>
            <wp:docPr id="7" name="Рисунок 7" descr="http://electroandi.ru/images/ekvgen/ekv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lectroandi.ru/images/ekvgen/ekvgen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 </w:t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 Искомый ток </w:t>
      </w:r>
      <w:proofErr w:type="spell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I</w:t>
      </w:r>
      <w:r w:rsidRPr="0064433C">
        <w:rPr>
          <w:rFonts w:ascii="Verdana" w:eastAsia="Times New Roman" w:hAnsi="Verdana" w:cs="Times New Roman"/>
          <w:sz w:val="21"/>
          <w:szCs w:val="21"/>
          <w:vertAlign w:val="subscript"/>
          <w:lang w:eastAsia="ru-RU"/>
        </w:rPr>
        <w:t>ab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находится по </w:t>
      </w:r>
      <w:hyperlink r:id="rId9" w:history="1">
        <w:r w:rsidRPr="0064433C">
          <w:rPr>
            <w:rFonts w:ascii="Verdana" w:eastAsia="Times New Roman" w:hAnsi="Verdana" w:cs="Times New Roman"/>
            <w:color w:val="0000FF"/>
            <w:sz w:val="21"/>
            <w:szCs w:val="21"/>
            <w:u w:val="single"/>
            <w:lang w:eastAsia="ru-RU"/>
          </w:rPr>
          <w:t>закону Ома для полной цепи</w:t>
        </w:r>
      </w:hyperlink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 </w:t>
      </w:r>
      <w:r>
        <w:rPr>
          <w:rFonts w:ascii="Verdana" w:eastAsia="Times New Roman" w:hAnsi="Verdana" w:cs="Times New Roman"/>
          <w:noProof/>
          <w:sz w:val="21"/>
          <w:szCs w:val="21"/>
          <w:lang w:eastAsia="ru-RU"/>
        </w:rPr>
        <w:drawing>
          <wp:inline distT="0" distB="0" distL="0" distR="0">
            <wp:extent cx="1398905" cy="504825"/>
            <wp:effectExtent l="0" t="0" r="0" b="9525"/>
            <wp:docPr id="6" name="Рисунок 6" descr="http://electroandi.ru/images/ekvgen/ekvg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lectroandi.ru/images/ekvgen/ekvgen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 Для нахождения тока нужно узнать </w:t>
      </w:r>
      <w:proofErr w:type="spell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Е</w:t>
      </w:r>
      <w:r w:rsidRPr="0064433C">
        <w:rPr>
          <w:rFonts w:ascii="Verdana" w:eastAsia="Times New Roman" w:hAnsi="Verdana" w:cs="Times New Roman"/>
          <w:sz w:val="21"/>
          <w:szCs w:val="21"/>
          <w:vertAlign w:val="subscript"/>
          <w:lang w:eastAsia="ru-RU"/>
        </w:rPr>
        <w:t>экв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и </w:t>
      </w:r>
      <w:proofErr w:type="spellStart"/>
      <w:proofErr w:type="gram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r</w:t>
      </w:r>
      <w:proofErr w:type="gram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экв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с помощью режимов эквивалентного генератора.</w:t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lastRenderedPageBreak/>
        <w:t xml:space="preserve">  Для того чтобы найти эквивалентную ЭДС, нужно рассмотреть режим холостого хода генератора, другими словами нужно отсоединить исследуемую ветвь </w:t>
      </w:r>
      <w:proofErr w:type="spell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ab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, тем самым избавив генератор от нагрузки, после чего он будет работать на так называемом холостом ходу.</w:t>
      </w:r>
    </w:p>
    <w:p w:rsidR="0064433C" w:rsidRPr="0064433C" w:rsidRDefault="0064433C" w:rsidP="00644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sz w:val="21"/>
          <w:szCs w:val="21"/>
          <w:lang w:eastAsia="ru-RU"/>
        </w:rPr>
        <w:drawing>
          <wp:inline distT="0" distB="0" distL="0" distR="0">
            <wp:extent cx="3391535" cy="2115185"/>
            <wp:effectExtent l="0" t="0" r="0" b="0"/>
            <wp:docPr id="5" name="Рисунок 5" descr="http://electroandi.ru/images/ekvgen/ekvge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lectroandi.ru/images/ekvgen/ekvgen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 </w:t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 Напряжение холостого хода </w:t>
      </w:r>
      <w:proofErr w:type="spell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U</w:t>
      </w:r>
      <w:r w:rsidRPr="0064433C">
        <w:rPr>
          <w:rFonts w:ascii="Verdana" w:eastAsia="Times New Roman" w:hAnsi="Verdana" w:cs="Times New Roman"/>
          <w:sz w:val="21"/>
          <w:szCs w:val="21"/>
          <w:vertAlign w:val="subscript"/>
          <w:lang w:eastAsia="ru-RU"/>
        </w:rPr>
        <w:t>х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, будет равно эквивалентной ЭДС </w:t>
      </w:r>
      <w:proofErr w:type="spellStart"/>
      <w:proofErr w:type="gram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E</w:t>
      </w:r>
      <w:proofErr w:type="gramEnd"/>
      <w:r w:rsidRPr="0064433C">
        <w:rPr>
          <w:rFonts w:ascii="Verdana" w:eastAsia="Times New Roman" w:hAnsi="Verdana" w:cs="Times New Roman"/>
          <w:sz w:val="21"/>
          <w:szCs w:val="21"/>
          <w:vertAlign w:val="subscript"/>
          <w:lang w:eastAsia="ru-RU"/>
        </w:rPr>
        <w:t>экв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. Таким образом мы можем найти </w:t>
      </w:r>
      <w:proofErr w:type="spellStart"/>
      <w:proofErr w:type="gram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E</w:t>
      </w:r>
      <w:proofErr w:type="gramEnd"/>
      <w:r w:rsidRPr="0064433C">
        <w:rPr>
          <w:rFonts w:ascii="Verdana" w:eastAsia="Times New Roman" w:hAnsi="Verdana" w:cs="Times New Roman"/>
          <w:sz w:val="21"/>
          <w:szCs w:val="21"/>
          <w:vertAlign w:val="subscript"/>
          <w:lang w:eastAsia="ru-RU"/>
        </w:rPr>
        <w:t>экв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. </w:t>
      </w:r>
    </w:p>
    <w:p w:rsidR="0064433C" w:rsidRPr="0064433C" w:rsidRDefault="0064433C" w:rsidP="00644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sz w:val="21"/>
          <w:szCs w:val="21"/>
          <w:lang w:eastAsia="ru-RU"/>
        </w:rPr>
        <w:drawing>
          <wp:inline distT="0" distB="0" distL="0" distR="0">
            <wp:extent cx="3876040" cy="464185"/>
            <wp:effectExtent l="0" t="0" r="0" b="0"/>
            <wp:docPr id="4" name="Рисунок 4" descr="http://electroandi.ru/images/ekvgen/ekvge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lectroandi.ru/images/ekvgen/ekvgen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 Следующим этапом решения задачи будет нахождение эквивалентного сопротивления </w:t>
      </w:r>
      <w:proofErr w:type="spellStart"/>
      <w:proofErr w:type="gram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r</w:t>
      </w:r>
      <w:proofErr w:type="gram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экв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. Можно воспользоваться режимом короткого замыкания генератора, при котором сопротивление </w:t>
      </w:r>
      <w:proofErr w:type="spell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R</w:t>
      </w:r>
      <w:r w:rsidRPr="0064433C">
        <w:rPr>
          <w:rFonts w:ascii="Verdana" w:eastAsia="Times New Roman" w:hAnsi="Verdana" w:cs="Times New Roman"/>
          <w:sz w:val="21"/>
          <w:szCs w:val="21"/>
          <w:vertAlign w:val="subscript"/>
          <w:lang w:eastAsia="ru-RU"/>
        </w:rPr>
        <w:t>ab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отсутствует, но в более сложных схемах это может привести к более громоздким расчётам, поэтому найдем </w:t>
      </w:r>
      <w:proofErr w:type="spellStart"/>
      <w:proofErr w:type="gram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r</w:t>
      </w:r>
      <w:proofErr w:type="gram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экв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как входное сопротивление пассивного двухполюсника. Пассивным называется </w:t>
      </w:r>
      <w:proofErr w:type="gram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двухполюсник</w:t>
      </w:r>
      <w:proofErr w:type="gram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у которого отсутствуют источники ЭДС. Простыми словами нужно убрать во внешней цепи источник ЭДС и найти </w:t>
      </w:r>
      <w:hyperlink r:id="rId13" w:history="1">
        <w:r w:rsidRPr="0064433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lang w:eastAsia="ru-RU"/>
          </w:rPr>
          <w:t>сопротивление</w:t>
        </w:r>
      </w:hyperlink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цепи, так и поступим.</w:t>
      </w:r>
    </w:p>
    <w:p w:rsidR="0064433C" w:rsidRPr="0064433C" w:rsidRDefault="0064433C" w:rsidP="00644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 </w:t>
      </w:r>
      <w:r>
        <w:rPr>
          <w:rFonts w:ascii="Verdana" w:eastAsia="Times New Roman" w:hAnsi="Verdana" w:cs="Times New Roman"/>
          <w:noProof/>
          <w:sz w:val="21"/>
          <w:szCs w:val="21"/>
          <w:lang w:eastAsia="ru-RU"/>
        </w:rPr>
        <w:drawing>
          <wp:inline distT="0" distB="0" distL="0" distR="0">
            <wp:extent cx="2750185" cy="2026920"/>
            <wp:effectExtent l="0" t="0" r="0" b="0"/>
            <wp:docPr id="3" name="Рисунок 3" descr="http://electroandi.ru/images/ekvgen/ekvge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lectroandi.ru/images/ekvgen/ekvgen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 Эквивалентное сопротивление </w:t>
      </w:r>
      <w:proofErr w:type="spell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r</w:t>
      </w:r>
      <w:r w:rsidRPr="0064433C">
        <w:rPr>
          <w:rFonts w:ascii="Verdana" w:eastAsia="Times New Roman" w:hAnsi="Verdana" w:cs="Times New Roman"/>
          <w:sz w:val="21"/>
          <w:szCs w:val="21"/>
          <w:vertAlign w:val="subscript"/>
          <w:lang w:eastAsia="ru-RU"/>
        </w:rPr>
        <w:t>экв</w:t>
      </w:r>
      <w:proofErr w:type="spell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равно </w:t>
      </w:r>
      <w:proofErr w:type="gram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( </w:t>
      </w:r>
      <w:proofErr w:type="gramEnd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тем, кто не умеет находить эквивалентное сопротивление, нужно прочитать статью виды соединения проводников )</w:t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>
            <wp:extent cx="3145790" cy="586740"/>
            <wp:effectExtent l="0" t="0" r="0" b="3810"/>
            <wp:docPr id="2" name="Рисунок 2" descr="http://electroandi.ru/images/ekvgen/ekvge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lectroandi.ru/images/ekvgen/ekvgen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 Итак, найдя эквивалентные ЭДС и сопротивление, мы можем найти силу тока в ветви </w:t>
      </w:r>
      <w:proofErr w:type="spellStart"/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ab</w:t>
      </w:r>
      <w:proofErr w:type="spellEnd"/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 </w:t>
      </w:r>
      <w:r>
        <w:rPr>
          <w:rFonts w:ascii="Verdana" w:eastAsia="Times New Roman" w:hAnsi="Verdana" w:cs="Times New Roman"/>
          <w:noProof/>
          <w:sz w:val="21"/>
          <w:szCs w:val="21"/>
          <w:lang w:eastAsia="ru-RU"/>
        </w:rPr>
        <w:drawing>
          <wp:inline distT="0" distB="0" distL="0" distR="0">
            <wp:extent cx="3084195" cy="477520"/>
            <wp:effectExtent l="0" t="0" r="1905" b="0"/>
            <wp:docPr id="1" name="Рисунок 1" descr="http://electroandi.ru/images/ekvgen/ekvge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lectroandi.ru/images/ekvgen/ekvgen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3C" w:rsidRPr="0064433C" w:rsidRDefault="0064433C" w:rsidP="00644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 На этом всё, </w:t>
      </w:r>
      <w:hyperlink r:id="rId17" w:history="1">
        <w:r w:rsidRPr="0064433C">
          <w:rPr>
            <w:rFonts w:ascii="Verdana" w:eastAsia="Times New Roman" w:hAnsi="Verdana" w:cs="Times New Roman"/>
            <w:color w:val="0000FF"/>
            <w:sz w:val="21"/>
            <w:szCs w:val="21"/>
            <w:u w:val="single"/>
            <w:lang w:eastAsia="ru-RU"/>
          </w:rPr>
          <w:t>ток</w:t>
        </w:r>
      </w:hyperlink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в нужной ветви найден, а значит, задача решена </w:t>
      </w:r>
      <w:r w:rsidRPr="0064433C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методом эквивалентного генератора</w:t>
      </w:r>
      <w:r w:rsidRPr="0064433C">
        <w:rPr>
          <w:rFonts w:ascii="Verdana" w:eastAsia="Times New Roman" w:hAnsi="Verdana" w:cs="Times New Roman"/>
          <w:sz w:val="21"/>
          <w:szCs w:val="21"/>
          <w:lang w:eastAsia="ru-RU"/>
        </w:rPr>
        <w:t>.</w:t>
      </w:r>
      <w:r w:rsidRPr="0064433C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</w:p>
    <w:p w:rsidR="00632663" w:rsidRDefault="00632663">
      <w:bookmarkStart w:id="0" w:name="_GoBack"/>
      <w:bookmarkEnd w:id="0"/>
    </w:p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66E"/>
    <w:multiLevelType w:val="multilevel"/>
    <w:tmpl w:val="F0A2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DD1C57"/>
    <w:multiLevelType w:val="multilevel"/>
    <w:tmpl w:val="F1FA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3C"/>
    <w:rsid w:val="00632663"/>
    <w:rsid w:val="0064433C"/>
    <w:rsid w:val="00BB2C86"/>
    <w:rsid w:val="00E5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4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3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4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433C"/>
    <w:rPr>
      <w:b/>
      <w:bCs/>
    </w:rPr>
  </w:style>
  <w:style w:type="character" w:styleId="a5">
    <w:name w:val="Hyperlink"/>
    <w:basedOn w:val="a0"/>
    <w:uiPriority w:val="99"/>
    <w:semiHidden/>
    <w:unhideWhenUsed/>
    <w:rsid w:val="0064433C"/>
    <w:rPr>
      <w:color w:val="0000FF"/>
      <w:u w:val="single"/>
    </w:rPr>
  </w:style>
  <w:style w:type="character" w:customStyle="1" w:styleId="itemnavigationtitle">
    <w:name w:val="itemnavigationtitle"/>
    <w:basedOn w:val="a0"/>
    <w:rsid w:val="0064433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443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4433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443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4433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4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4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3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4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433C"/>
    <w:rPr>
      <w:b/>
      <w:bCs/>
    </w:rPr>
  </w:style>
  <w:style w:type="character" w:styleId="a5">
    <w:name w:val="Hyperlink"/>
    <w:basedOn w:val="a0"/>
    <w:uiPriority w:val="99"/>
    <w:semiHidden/>
    <w:unhideWhenUsed/>
    <w:rsid w:val="0064433C"/>
    <w:rPr>
      <w:color w:val="0000FF"/>
      <w:u w:val="single"/>
    </w:rPr>
  </w:style>
  <w:style w:type="character" w:customStyle="1" w:styleId="itemnavigationtitle">
    <w:name w:val="itemnavigationtitle"/>
    <w:basedOn w:val="a0"/>
    <w:rsid w:val="0064433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443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4433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443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4433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4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electroandi.ru/elektrichestvo-i-magnetizm/elektricheskoe-soprotivlenie-provodnikov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://electroandi.ru/elektrichestvo-i-magnetizm/postoyannyj-tok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electroandi.ru/toe/istochniki-eds-i-toka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lectroandi.ru/toe/zakon-oma.html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2016-06-22T03:43:00Z</dcterms:created>
  <dcterms:modified xsi:type="dcterms:W3CDTF">2016-06-22T03:43:00Z</dcterms:modified>
</cp:coreProperties>
</file>