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D15E7D2" w:rsidR="008A5AA4" w:rsidRDefault="00000000">
      <w:pPr>
        <w:pStyle w:val="Heading1"/>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rPr>
          <w:rFonts w:ascii="Times New Roman" w:eastAsia="Times New Roman" w:hAnsi="Times New Roman" w:cs="Times New Roman"/>
          <w:color w:val="0D0D0D"/>
          <w:sz w:val="24"/>
          <w:szCs w:val="24"/>
        </w:rPr>
      </w:pPr>
      <w:bookmarkStart w:id="0" w:name="_rk7okka59tos" w:colFirst="0" w:colLast="0"/>
      <w:bookmarkEnd w:id="0"/>
      <w:r>
        <w:rPr>
          <w:rFonts w:ascii="Times New Roman" w:eastAsia="Times New Roman" w:hAnsi="Times New Roman" w:cs="Times New Roman"/>
          <w:color w:val="0D0D0D"/>
          <w:sz w:val="24"/>
          <w:szCs w:val="24"/>
        </w:rPr>
        <w:t>Yifan Yang</w:t>
      </w:r>
      <w:bookmarkStart w:id="1" w:name="_73xxedh9gcgi" w:colFirst="0" w:colLast="0"/>
      <w:bookmarkEnd w:id="1"/>
      <w:r w:rsidR="00CF56C5">
        <w:rPr>
          <w:rFonts w:ascii="Times New Roman" w:eastAsia="Times New Roman" w:hAnsi="Times New Roman" w:cs="Times New Roman"/>
          <w:color w:val="0D0D0D"/>
          <w:sz w:val="24"/>
          <w:szCs w:val="24"/>
        </w:rPr>
        <w:br/>
      </w:r>
      <w:r>
        <w:rPr>
          <w:rFonts w:ascii="Times New Roman" w:eastAsia="Times New Roman" w:hAnsi="Times New Roman" w:cs="Times New Roman"/>
          <w:color w:val="0D0D0D"/>
          <w:sz w:val="24"/>
          <w:szCs w:val="24"/>
        </w:rPr>
        <w:t>Educational Psychology 506</w:t>
      </w:r>
      <w:bookmarkStart w:id="2" w:name="_arjm2ly0520i" w:colFirst="0" w:colLast="0"/>
      <w:bookmarkEnd w:id="2"/>
      <w:r w:rsidR="00CF56C5">
        <w:rPr>
          <w:rFonts w:ascii="Times New Roman" w:eastAsia="Times New Roman" w:hAnsi="Times New Roman" w:cs="Times New Roman"/>
          <w:color w:val="0D0D0D"/>
          <w:sz w:val="24"/>
          <w:szCs w:val="24"/>
        </w:rPr>
        <w:br/>
      </w:r>
      <w:r>
        <w:rPr>
          <w:rFonts w:ascii="Times New Roman" w:eastAsia="Times New Roman" w:hAnsi="Times New Roman" w:cs="Times New Roman"/>
          <w:color w:val="0D0D0D"/>
          <w:sz w:val="24"/>
          <w:szCs w:val="24"/>
        </w:rPr>
        <w:t xml:space="preserve">Literature Review </w:t>
      </w:r>
    </w:p>
    <w:p w14:paraId="00000004" w14:textId="77777777" w:rsidR="008A5AA4" w:rsidRDefault="008A5AA4">
      <w:pPr>
        <w:pStyle w:val="Heading1"/>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rPr>
          <w:rFonts w:ascii="Times New Roman" w:eastAsia="Times New Roman" w:hAnsi="Times New Roman" w:cs="Times New Roman"/>
          <w:b/>
          <w:bCs/>
          <w:color w:val="0D0D0D"/>
          <w:sz w:val="24"/>
          <w:szCs w:val="24"/>
        </w:rPr>
      </w:pPr>
      <w:bookmarkStart w:id="3" w:name="_5b3yuf18k5rz" w:colFirst="0" w:colLast="0"/>
      <w:bookmarkEnd w:id="3"/>
    </w:p>
    <w:p w14:paraId="00000005" w14:textId="77777777" w:rsidR="008A5AA4" w:rsidRDefault="00000000">
      <w:pPr>
        <w:pStyle w:val="Heading1"/>
        <w:keepNext w:val="0"/>
        <w:keepLines w:val="0"/>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rPr>
          <w:rFonts w:ascii="Times New Roman" w:eastAsia="Times New Roman" w:hAnsi="Times New Roman" w:cs="Times New Roman"/>
          <w:b/>
          <w:bCs/>
          <w:i/>
          <w:iCs/>
          <w:sz w:val="24"/>
          <w:szCs w:val="24"/>
        </w:rPr>
      </w:pPr>
      <w:bookmarkStart w:id="4" w:name="_2ofzy0pncsan" w:colFirst="0" w:colLast="0"/>
      <w:bookmarkEnd w:id="4"/>
      <w:r>
        <w:rPr>
          <w:rFonts w:ascii="Times New Roman" w:eastAsia="Times New Roman" w:hAnsi="Times New Roman" w:cs="Times New Roman"/>
          <w:b/>
          <w:bCs/>
          <w:i/>
          <w:iCs/>
          <w:color w:val="0D0D0D"/>
          <w:sz w:val="24"/>
          <w:szCs w:val="24"/>
        </w:rPr>
        <w:t>Optimization Model of Cognitive Processing Under Working Memory Capacity Constraints</w:t>
      </w:r>
      <w:r>
        <w:rPr>
          <w:rFonts w:ascii="Times New Roman" w:eastAsia="Times New Roman" w:hAnsi="Times New Roman" w:cs="Times New Roman"/>
          <w:b/>
          <w:bCs/>
          <w:i/>
          <w:iCs/>
          <w:color w:val="0D0D0D"/>
          <w:sz w:val="24"/>
          <w:szCs w:val="24"/>
        </w:rPr>
        <w:br/>
      </w:r>
    </w:p>
    <w:p w14:paraId="47AE3516"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r w:rsidRPr="00960D40">
        <w:rPr>
          <w:rFonts w:ascii="Times New Roman" w:eastAsia="Times New Roman" w:hAnsi="Times New Roman" w:cs="Times New Roman"/>
          <w:sz w:val="24"/>
          <w:szCs w:val="24"/>
        </w:rPr>
        <w:t xml:space="preserve">Cognitive load theory (CLT) remains one of the clearest explanations of why instructional design matters for learning. It is also a useful starting point for asking a more specific question: how should learning under capacity limits be described in a more formal way? </w:t>
      </w:r>
      <w:proofErr w:type="spellStart"/>
      <w:r w:rsidRPr="00960D40">
        <w:rPr>
          <w:rFonts w:ascii="Times New Roman" w:eastAsia="Times New Roman" w:hAnsi="Times New Roman" w:cs="Times New Roman"/>
          <w:sz w:val="24"/>
          <w:szCs w:val="24"/>
        </w:rPr>
        <w:t>Sweller</w:t>
      </w:r>
      <w:proofErr w:type="spellEnd"/>
      <w:r w:rsidRPr="00960D40">
        <w:rPr>
          <w:rFonts w:ascii="Times New Roman" w:eastAsia="Times New Roman" w:hAnsi="Times New Roman" w:cs="Times New Roman"/>
          <w:sz w:val="24"/>
          <w:szCs w:val="24"/>
        </w:rPr>
        <w:t xml:space="preserve"> (1988) argued early on that problem solving and learning are not the same process. Search procedures such as means-ends analysis may help learners reach an immediate goal, but they can also consume cognitive resources that might otherwise support schema acquisition. Later work refined this account by distinguishing intrinsic and extraneous cognitive load and by identifying element interactivity as a key source of task difficulty (</w:t>
      </w:r>
      <w:proofErr w:type="spellStart"/>
      <w:r w:rsidRPr="00960D40">
        <w:rPr>
          <w:rFonts w:ascii="Times New Roman" w:eastAsia="Times New Roman" w:hAnsi="Times New Roman" w:cs="Times New Roman"/>
          <w:sz w:val="24"/>
          <w:szCs w:val="24"/>
        </w:rPr>
        <w:t>Sweller</w:t>
      </w:r>
      <w:proofErr w:type="spellEnd"/>
      <w:r w:rsidRPr="00960D40">
        <w:rPr>
          <w:rFonts w:ascii="Times New Roman" w:eastAsia="Times New Roman" w:hAnsi="Times New Roman" w:cs="Times New Roman"/>
          <w:sz w:val="24"/>
          <w:szCs w:val="24"/>
        </w:rPr>
        <w:t>, 2010). More recent formulations of cognitive architecture also emphasized the roles of prior knowledge, long-term memory, and the changing status of novelty in working memory (</w:t>
      </w:r>
      <w:proofErr w:type="spellStart"/>
      <w:r w:rsidRPr="00960D40">
        <w:rPr>
          <w:rFonts w:ascii="Times New Roman" w:eastAsia="Times New Roman" w:hAnsi="Times New Roman" w:cs="Times New Roman"/>
          <w:sz w:val="24"/>
          <w:szCs w:val="24"/>
        </w:rPr>
        <w:t>Sweller</w:t>
      </w:r>
      <w:proofErr w:type="spellEnd"/>
      <w:r w:rsidRPr="00960D40">
        <w:rPr>
          <w:rFonts w:ascii="Times New Roman" w:eastAsia="Times New Roman" w:hAnsi="Times New Roman" w:cs="Times New Roman"/>
          <w:sz w:val="24"/>
          <w:szCs w:val="24"/>
        </w:rPr>
        <w:t xml:space="preserve"> et al., 2019). These contributions make clear why limited capacity matters for learning. The harder point is where CLT becomes less precise: the theory remains largely verbal at the point where task structure, processing cost, and learning outcomes should be linked more explicitly. That weakness matters because, as </w:t>
      </w:r>
      <w:proofErr w:type="spellStart"/>
      <w:r w:rsidRPr="00960D40">
        <w:rPr>
          <w:rFonts w:ascii="Times New Roman" w:eastAsia="Times New Roman" w:hAnsi="Times New Roman" w:cs="Times New Roman"/>
          <w:sz w:val="24"/>
          <w:szCs w:val="24"/>
        </w:rPr>
        <w:t>Anmarkrud</w:t>
      </w:r>
      <w:proofErr w:type="spellEnd"/>
      <w:r w:rsidRPr="00960D40">
        <w:rPr>
          <w:rFonts w:ascii="Times New Roman" w:eastAsia="Times New Roman" w:hAnsi="Times New Roman" w:cs="Times New Roman"/>
          <w:sz w:val="24"/>
          <w:szCs w:val="24"/>
        </w:rPr>
        <w:t xml:space="preserve"> et al. (2019) noted, research in multimedia learning often invokes working memory and cognitive load without specifying them carefully enough, and it often relies on fairly general measures of load. CLT identifies the right educational problem, but it does not yet give a precise account of how the organization of information generates processing cost.</w:t>
      </w:r>
    </w:p>
    <w:p w14:paraId="013776F2"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p>
    <w:p w14:paraId="47DACF3F"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r w:rsidRPr="00960D40">
        <w:rPr>
          <w:rFonts w:ascii="Times New Roman" w:eastAsia="Times New Roman" w:hAnsi="Times New Roman" w:cs="Times New Roman"/>
          <w:sz w:val="24"/>
          <w:szCs w:val="24"/>
        </w:rPr>
        <w:t>One way to sharpen that account is to treat working memory not simply as a label for difficulty, but as a limited resource system. Baddeley (1992) already described working memory as more than passive short-term storage; it is a system for temporary storage and manipulation in the service of reasoning, comprehension, and learning. More recent research pushes this view further by treating capacity as graded and allocable. Ma et al. (2014) argued that working-memory limits are often better understood in terms of representational precision than in terms of a fixed number of slots. On this view, resources can be distributed flexibly across items depending on task demands. van den Berg and Ma (2018) formalized this idea more explicitly by modeling memory investment as a rational trade-off between behavioral error and neural cost. That move is especially useful here because it changes the unit of analysis. Capacity is no longer only about how many items can be kept active at once; it is also about how much representational quality can be invested, withheld, or redistributed across components of a task. These papers are not models of instructional design, but they change the baseline for thinking about it. Once working memory is treated as limited, allocable, and costly, the relevant question is no longer just whether some material produces high load. The more informative question becomes what properties of the material make processing expensive in the first place.</w:t>
      </w:r>
    </w:p>
    <w:p w14:paraId="304D799B"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p>
    <w:p w14:paraId="273F0CD2"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r w:rsidRPr="00960D40">
        <w:rPr>
          <w:rFonts w:ascii="Times New Roman" w:eastAsia="Times New Roman" w:hAnsi="Times New Roman" w:cs="Times New Roman"/>
          <w:sz w:val="24"/>
          <w:szCs w:val="24"/>
        </w:rPr>
        <w:t xml:space="preserve">CLT offers a strong answer to that question, but still mainly in conceptual rather than formal terms. </w:t>
      </w:r>
      <w:proofErr w:type="spellStart"/>
      <w:r w:rsidRPr="00960D40">
        <w:rPr>
          <w:rFonts w:ascii="Times New Roman" w:eastAsia="Times New Roman" w:hAnsi="Times New Roman" w:cs="Times New Roman"/>
          <w:sz w:val="24"/>
          <w:szCs w:val="24"/>
        </w:rPr>
        <w:t>Sweller</w:t>
      </w:r>
      <w:proofErr w:type="spellEnd"/>
      <w:r w:rsidRPr="00960D40">
        <w:rPr>
          <w:rFonts w:ascii="Times New Roman" w:eastAsia="Times New Roman" w:hAnsi="Times New Roman" w:cs="Times New Roman"/>
          <w:sz w:val="24"/>
          <w:szCs w:val="24"/>
        </w:rPr>
        <w:t xml:space="preserve"> (2010) is the key paper here. Its central claim is that intrinsic load depends on element </w:t>
      </w:r>
      <w:r w:rsidRPr="00960D40">
        <w:rPr>
          <w:rFonts w:ascii="Times New Roman" w:eastAsia="Times New Roman" w:hAnsi="Times New Roman" w:cs="Times New Roman"/>
          <w:sz w:val="24"/>
          <w:szCs w:val="24"/>
        </w:rPr>
        <w:lastRenderedPageBreak/>
        <w:t xml:space="preserve">interactivity rather than on the raw number of information units alone. A task may contain many elements and still remain manageable if those elements can be processed independently. By contrast, even a smaller set of elements can become demanding when understanding requires simultaneous coordination among them. Chen et al. (2023) sharpened this point by distinguishing task complexity from task difficulty and by emphasizing that complexity depends on both the structure of information and the learner's prior knowledge. Read together with </w:t>
      </w:r>
      <w:proofErr w:type="spellStart"/>
      <w:r w:rsidRPr="00960D40">
        <w:rPr>
          <w:rFonts w:ascii="Times New Roman" w:eastAsia="Times New Roman" w:hAnsi="Times New Roman" w:cs="Times New Roman"/>
          <w:sz w:val="24"/>
          <w:szCs w:val="24"/>
        </w:rPr>
        <w:t>Sweller's</w:t>
      </w:r>
      <w:proofErr w:type="spellEnd"/>
      <w:r w:rsidRPr="00960D40">
        <w:rPr>
          <w:rFonts w:ascii="Times New Roman" w:eastAsia="Times New Roman" w:hAnsi="Times New Roman" w:cs="Times New Roman"/>
          <w:sz w:val="24"/>
          <w:szCs w:val="24"/>
        </w:rPr>
        <w:t xml:space="preserve"> earlier analysis of search burden during problem solving (</w:t>
      </w:r>
      <w:proofErr w:type="spellStart"/>
      <w:r w:rsidRPr="00960D40">
        <w:rPr>
          <w:rFonts w:ascii="Times New Roman" w:eastAsia="Times New Roman" w:hAnsi="Times New Roman" w:cs="Times New Roman"/>
          <w:sz w:val="24"/>
          <w:szCs w:val="24"/>
        </w:rPr>
        <w:t>Sweller</w:t>
      </w:r>
      <w:proofErr w:type="spellEnd"/>
      <w:r w:rsidRPr="00960D40">
        <w:rPr>
          <w:rFonts w:ascii="Times New Roman" w:eastAsia="Times New Roman" w:hAnsi="Times New Roman" w:cs="Times New Roman"/>
          <w:sz w:val="24"/>
          <w:szCs w:val="24"/>
        </w:rPr>
        <w:t>, 1988), this literature suggests that instructional cost depends on at least three structural features: how much information must be handled, how complex each element is, and how strongly the elements must be coordinated at the same time. That argument is already quite strong. What it still does not specify is how these structural features should be represented when information is divided, sequenced, or reformatted for instructional purposes.</w:t>
      </w:r>
    </w:p>
    <w:p w14:paraId="38DBA224"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p>
    <w:p w14:paraId="5CE80E5A"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r w:rsidRPr="00960D40">
        <w:rPr>
          <w:rFonts w:ascii="Times New Roman" w:eastAsia="Times New Roman" w:hAnsi="Times New Roman" w:cs="Times New Roman"/>
          <w:sz w:val="24"/>
          <w:szCs w:val="24"/>
        </w:rPr>
        <w:t>That problem becomes especially clear in discussions of segmentation. Within CLT, segmentation and related design strategies are usually justified on the grounds that they reduce unnecessary simultaneous processing and free resources for essential learning (</w:t>
      </w:r>
      <w:proofErr w:type="spellStart"/>
      <w:r w:rsidRPr="00960D40">
        <w:rPr>
          <w:rFonts w:ascii="Times New Roman" w:eastAsia="Times New Roman" w:hAnsi="Times New Roman" w:cs="Times New Roman"/>
          <w:sz w:val="24"/>
          <w:szCs w:val="24"/>
        </w:rPr>
        <w:t>Sweller</w:t>
      </w:r>
      <w:proofErr w:type="spellEnd"/>
      <w:r w:rsidRPr="00960D40">
        <w:rPr>
          <w:rFonts w:ascii="Times New Roman" w:eastAsia="Times New Roman" w:hAnsi="Times New Roman" w:cs="Times New Roman"/>
          <w:sz w:val="24"/>
          <w:szCs w:val="24"/>
        </w:rPr>
        <w:t xml:space="preserve"> et al., 2019). This logic is important, but it does not settle the whole issue. Segmenting material may reduce immediate coordination demands within a given unit, yet it may also move the burden to a later stage, when learners must reconnect the separated relations on their own. In that sense, segmentation may shift difficulty rather than remove it. </w:t>
      </w:r>
      <w:proofErr w:type="spellStart"/>
      <w:r w:rsidRPr="00960D40">
        <w:rPr>
          <w:rFonts w:ascii="Times New Roman" w:eastAsia="Times New Roman" w:hAnsi="Times New Roman" w:cs="Times New Roman"/>
          <w:sz w:val="24"/>
          <w:szCs w:val="24"/>
        </w:rPr>
        <w:t>Anmarkrud</w:t>
      </w:r>
      <w:proofErr w:type="spellEnd"/>
      <w:r w:rsidRPr="00960D40">
        <w:rPr>
          <w:rFonts w:ascii="Times New Roman" w:eastAsia="Times New Roman" w:hAnsi="Times New Roman" w:cs="Times New Roman"/>
          <w:sz w:val="24"/>
          <w:szCs w:val="24"/>
        </w:rPr>
        <w:t xml:space="preserve"> et al. (2019) are useful here not because they show that segmentation is harmful, but because they show how easily lower reported load is treated as evidence of better processing even when the underlying concepts of working memory and learning remain underspecified. That point matters. A design can make processing easier in the moment while still weakening the structure learners need to build for later understanding and transfer. A theory that tracks only local relief therefore risks overlooking a possible cost of fragmentation.</w:t>
      </w:r>
    </w:p>
    <w:p w14:paraId="4D7B7347"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p>
    <w:p w14:paraId="140249CE"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r w:rsidRPr="00960D40">
        <w:rPr>
          <w:rFonts w:ascii="Times New Roman" w:eastAsia="Times New Roman" w:hAnsi="Times New Roman" w:cs="Times New Roman"/>
          <w:sz w:val="24"/>
          <w:szCs w:val="24"/>
        </w:rPr>
        <w:t>Kintsch's (1994) account of text comprehension helps clarify why this issue matters. More than any other source in this review, it makes the cost of lost coherence easier to see. Kintsch distinguished remembering a text from learning from it. Learners may retain propositions from a passage and still fail to construct a situation model that supports inference and transfer. From this perspective, coherence is not merely a desirable presentational feature; it is a condition for building a representation in which relations among elements remain usable rather than merely available. Prior knowledge also matters. High-coherence materials may be particularly helpful for learners with weak prior knowledge, whereas less explicit materials may sometimes encourage deeper constructive processing in learners who already possess relevant schemas. This perspective sharpens an issue that often remains implicit in standard CLT discussions of segmentation. Learning outcomes are not all equally vulnerable to structural disruption. Recall may survive when material has been broken into manageable parts, but transfer should be more sensitive to the weakening of relations across those parts. Transfer depends on reusing relational structure in a new context, not simply reproducing isolated elements. Kintsch's framework therefore strengthens the argument that reducing processing burden is not the only goal of instructional design. At the same time, it does not provide a capacity-based objective for deciding when a local reduction in burden is worth a possible loss of overall coherence.</w:t>
      </w:r>
    </w:p>
    <w:p w14:paraId="36D6239A"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p>
    <w:p w14:paraId="50209486"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r w:rsidRPr="00960D40">
        <w:rPr>
          <w:rFonts w:ascii="Times New Roman" w:eastAsia="Times New Roman" w:hAnsi="Times New Roman" w:cs="Times New Roman"/>
          <w:sz w:val="24"/>
          <w:szCs w:val="24"/>
        </w:rPr>
        <w:lastRenderedPageBreak/>
        <w:t>The next step is easier to see once formal models of limited memory are brought into view. Sawicka (2008) is the closest precedent within the CLT literature itself. Its value here is not that it already solves the present problem, but that it shows mathematical formalization is not foreign to CLT. Outside the CLT literature, several other approaches provide useful conceptual tools. van den Berg and Ma (2018) modeled working-memory investment as rational cost minimization. Nassar et al. (2018) described chunking as a lossy compression strategy that trades fidelity for efficiency. Jakob and Gershman (2023) used rate-distortion theory to formalize the relationship between capacity limits and memory error. These models differ in domain and level of analysis, but they share an important commitment: limited cognition can be described as optimization under constraints rather than as a vague bottleneck. They do not all matter in the same way, though. Nassar et al. and Jakob and Gershman are most useful here as neighboring formalisms, not as models of instructional segmentation. What they show is that trade-offs among efficiency, fidelity, and limited capacity can be formalized rather than simply described. The present problem is narrower. Instructional material becomes difficult not simply because multiple features must be encoded, but because interdependent elements have to be coordinated without destroying the relations that make later understanding possible.</w:t>
      </w:r>
    </w:p>
    <w:p w14:paraId="0CEEC0C2" w14:textId="77777777" w:rsidR="00960D40" w:rsidRPr="00960D40"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sz w:val="24"/>
          <w:szCs w:val="24"/>
        </w:rPr>
      </w:pPr>
    </w:p>
    <w:p w14:paraId="00000014" w14:textId="3E65916B" w:rsidR="008A5AA4" w:rsidRDefault="00960D40" w:rsidP="00960D4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240" w:lineRule="auto"/>
        <w:jc w:val="both"/>
        <w:rPr>
          <w:rFonts w:ascii="Times New Roman" w:eastAsia="Times New Roman" w:hAnsi="Times New Roman" w:cs="Times New Roman"/>
          <w:color w:val="0D0D0D"/>
          <w:sz w:val="24"/>
          <w:szCs w:val="24"/>
        </w:rPr>
      </w:pPr>
      <w:r w:rsidRPr="00960D40">
        <w:rPr>
          <w:rFonts w:ascii="Times New Roman" w:eastAsia="Times New Roman" w:hAnsi="Times New Roman" w:cs="Times New Roman"/>
          <w:sz w:val="24"/>
          <w:szCs w:val="24"/>
        </w:rPr>
        <w:t>The resulting gap is therefore narrower and more defensible than the claim that cognition under limits has never been formalized. The literature already explains why capacity limits matter, why element interactivity is central to intrinsic cognitive load, why coherence matters for understanding and transfer, and why optimization is a legitimate framework for describing limited memory. The problem is that these insights remain distributed across separate theoretical traditions. CLT identifies the educational problem, but remains under-formalized when task structure must be represented precisely. Comprehension theory explains why preserving relations matters for meaningful learning, but it does not provide a cost framework. Formal models of working memory, chunking, and compression provide stronger optimization-based tools, but they rarely target the partitioning of instructional material whose elements must be understood in relation to one another. The central instructional question is therefore not whether material should be simplified in general, but what kind of simplification preserves enough structure for later use. What remains underdeveloped, then, is a formal account of how information should be partitioned under capacity constraints when the aim is not only to reduce local processing difficulty, but also to preserve enough relational structure to support learning and transfer.</w:t>
      </w:r>
    </w:p>
    <w:p w14:paraId="00000015" w14:textId="77777777" w:rsidR="008A5AA4" w:rsidRDefault="008A5AA4">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390" w:lineRule="auto"/>
        <w:rPr>
          <w:rFonts w:ascii="Times New Roman" w:eastAsia="Times New Roman" w:hAnsi="Times New Roman" w:cs="Times New Roman"/>
          <w:color w:val="0D0D0D"/>
          <w:sz w:val="24"/>
          <w:szCs w:val="24"/>
        </w:rPr>
      </w:pPr>
    </w:p>
    <w:p w14:paraId="1F1D23CF" w14:textId="77777777" w:rsidR="00D87E2E" w:rsidRDefault="00D87E2E">
      <w:pPr>
        <w:rPr>
          <w:rFonts w:ascii="Times New Roman" w:eastAsia="Times New Roman" w:hAnsi="Times New Roman" w:cs="Times New Roman"/>
          <w:b/>
          <w:bCs/>
          <w:i/>
          <w:iCs/>
          <w:color w:val="0D0D0D"/>
          <w:sz w:val="24"/>
          <w:szCs w:val="24"/>
        </w:rPr>
      </w:pPr>
      <w:r>
        <w:rPr>
          <w:rFonts w:ascii="Times New Roman" w:eastAsia="Times New Roman" w:hAnsi="Times New Roman" w:cs="Times New Roman"/>
          <w:b/>
          <w:bCs/>
          <w:i/>
          <w:iCs/>
          <w:color w:val="0D0D0D"/>
          <w:sz w:val="24"/>
          <w:szCs w:val="24"/>
        </w:rPr>
        <w:br w:type="page"/>
      </w:r>
    </w:p>
    <w:p w14:paraId="00000016" w14:textId="35BC97ED" w:rsidR="008A5AA4" w:rsidRDefault="00000000">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after="120" w:line="390" w:lineRule="auto"/>
        <w:rPr>
          <w:rFonts w:ascii="Times New Roman" w:eastAsia="Times New Roman" w:hAnsi="Times New Roman" w:cs="Times New Roman"/>
          <w:b/>
          <w:bCs/>
          <w:i/>
          <w:iCs/>
          <w:color w:val="0D0D0D"/>
          <w:sz w:val="24"/>
          <w:szCs w:val="24"/>
        </w:rPr>
      </w:pPr>
      <w:r>
        <w:rPr>
          <w:rFonts w:ascii="Times New Roman" w:eastAsia="Times New Roman" w:hAnsi="Times New Roman" w:cs="Times New Roman"/>
          <w:b/>
          <w:bCs/>
          <w:i/>
          <w:iCs/>
          <w:color w:val="0D0D0D"/>
          <w:sz w:val="24"/>
          <w:szCs w:val="24"/>
        </w:rPr>
        <w:lastRenderedPageBreak/>
        <w:t>References</w:t>
      </w:r>
    </w:p>
    <w:p w14:paraId="00000017"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ind w:left="1077" w:hanging="720"/>
        <w:jc w:val="both"/>
      </w:pPr>
      <w:proofErr w:type="spellStart"/>
      <w:r>
        <w:rPr>
          <w:rFonts w:ascii="Times New Roman" w:eastAsia="Times New Roman" w:hAnsi="Times New Roman" w:cs="Times New Roman"/>
          <w:color w:val="0D0D0D"/>
          <w:sz w:val="24"/>
          <w:szCs w:val="24"/>
        </w:rPr>
        <w:t>Anmarkrud</w:t>
      </w:r>
      <w:proofErr w:type="spellEnd"/>
      <w:r>
        <w:rPr>
          <w:rFonts w:ascii="Times New Roman" w:eastAsia="Times New Roman" w:hAnsi="Times New Roman" w:cs="Times New Roman"/>
          <w:color w:val="0D0D0D"/>
          <w:sz w:val="24"/>
          <w:szCs w:val="24"/>
        </w:rPr>
        <w:t xml:space="preserve">, O., Andresen, A., &amp; Bråten, I. (2019). Cognitive load and working memory in multimedia learning: Conceptual and measurement issues. </w:t>
      </w:r>
      <w:r>
        <w:rPr>
          <w:rFonts w:ascii="Times New Roman" w:eastAsia="Times New Roman" w:hAnsi="Times New Roman" w:cs="Times New Roman"/>
          <w:i/>
          <w:iCs/>
          <w:color w:val="0D0D0D"/>
          <w:sz w:val="24"/>
          <w:szCs w:val="24"/>
        </w:rPr>
        <w:t>Educational Psychologist, 54</w:t>
      </w:r>
      <w:r>
        <w:rPr>
          <w:rFonts w:ascii="Times New Roman" w:eastAsia="Times New Roman" w:hAnsi="Times New Roman" w:cs="Times New Roman"/>
          <w:color w:val="0D0D0D"/>
          <w:sz w:val="24"/>
          <w:szCs w:val="24"/>
        </w:rPr>
        <w:t xml:space="preserve">(2), 61-83. </w:t>
      </w:r>
      <w:hyperlink r:id="rId5">
        <w:r w:rsidR="008A5AA4">
          <w:rPr>
            <w:rFonts w:ascii="Times New Roman" w:eastAsia="Times New Roman" w:hAnsi="Times New Roman" w:cs="Times New Roman"/>
            <w:color w:val="0285FF"/>
            <w:sz w:val="24"/>
            <w:szCs w:val="24"/>
            <w:u w:val="single"/>
          </w:rPr>
          <w:t>https://doi.org/10.1080/00461520.2018.1554484</w:t>
        </w:r>
      </w:hyperlink>
    </w:p>
    <w:p w14:paraId="7E152E4C"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before="120" w:line="240" w:lineRule="auto"/>
        <w:ind w:left="1077" w:hanging="720"/>
        <w:jc w:val="both"/>
        <w:rPr>
          <w:rFonts w:ascii="Times New Roman" w:eastAsia="Times New Roman" w:hAnsi="Times New Roman" w:cs="Times New Roman"/>
          <w:sz w:val="24"/>
          <w:szCs w:val="24"/>
        </w:rPr>
      </w:pPr>
    </w:p>
    <w:p w14:paraId="00000018"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Baddeley, A. D. (1992). Working memory. </w:t>
      </w:r>
      <w:r>
        <w:rPr>
          <w:rFonts w:ascii="Times New Roman" w:eastAsia="Times New Roman" w:hAnsi="Times New Roman" w:cs="Times New Roman"/>
          <w:i/>
          <w:iCs/>
          <w:color w:val="0D0D0D"/>
          <w:sz w:val="24"/>
          <w:szCs w:val="24"/>
        </w:rPr>
        <w:t>Science, 255</w:t>
      </w:r>
      <w:r>
        <w:rPr>
          <w:rFonts w:ascii="Times New Roman" w:eastAsia="Times New Roman" w:hAnsi="Times New Roman" w:cs="Times New Roman"/>
          <w:color w:val="0D0D0D"/>
          <w:sz w:val="24"/>
          <w:szCs w:val="24"/>
        </w:rPr>
        <w:t xml:space="preserve">(5044), 556-559. </w:t>
      </w:r>
      <w:hyperlink r:id="rId6">
        <w:r w:rsidR="008A5AA4">
          <w:rPr>
            <w:rFonts w:ascii="Times New Roman" w:eastAsia="Times New Roman" w:hAnsi="Times New Roman" w:cs="Times New Roman"/>
            <w:color w:val="0285FF"/>
            <w:sz w:val="24"/>
            <w:szCs w:val="24"/>
            <w:u w:val="single"/>
          </w:rPr>
          <w:t>https://doi.org/10.1126/science.1736359</w:t>
        </w:r>
      </w:hyperlink>
    </w:p>
    <w:p w14:paraId="13F459A0"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9"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Chen, O., Paas, F., &amp; </w:t>
      </w: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(2023). A cognitive load theory approach to defining and measuring task complexity through element interactivity. </w:t>
      </w:r>
      <w:r>
        <w:rPr>
          <w:rFonts w:ascii="Times New Roman" w:eastAsia="Times New Roman" w:hAnsi="Times New Roman" w:cs="Times New Roman"/>
          <w:i/>
          <w:iCs/>
          <w:color w:val="0D0D0D"/>
          <w:sz w:val="24"/>
          <w:szCs w:val="24"/>
        </w:rPr>
        <w:t>Educational Psychology Review, 35</w:t>
      </w:r>
      <w:r>
        <w:rPr>
          <w:rFonts w:ascii="Times New Roman" w:eastAsia="Times New Roman" w:hAnsi="Times New Roman" w:cs="Times New Roman"/>
          <w:color w:val="0D0D0D"/>
          <w:sz w:val="24"/>
          <w:szCs w:val="24"/>
        </w:rPr>
        <w:t xml:space="preserve">(2), 63. </w:t>
      </w:r>
      <w:hyperlink r:id="rId7">
        <w:r w:rsidR="008A5AA4">
          <w:rPr>
            <w:rFonts w:ascii="Times New Roman" w:eastAsia="Times New Roman" w:hAnsi="Times New Roman" w:cs="Times New Roman"/>
            <w:color w:val="0285FF"/>
            <w:sz w:val="24"/>
            <w:szCs w:val="24"/>
            <w:u w:val="single"/>
          </w:rPr>
          <w:t>https://doi.org/10.1007/s10648-023-09782-w</w:t>
        </w:r>
      </w:hyperlink>
    </w:p>
    <w:p w14:paraId="1DBC0832"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A"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rPr>
        <w:t xml:space="preserve">Jakob, A. M. V., &amp; Gershman, S. J. (2023). Rate-distortion theory of neural coding and its implications for working memory. </w:t>
      </w:r>
      <w:proofErr w:type="spellStart"/>
      <w:r>
        <w:rPr>
          <w:rFonts w:ascii="Times New Roman" w:eastAsia="Times New Roman" w:hAnsi="Times New Roman" w:cs="Times New Roman"/>
          <w:i/>
          <w:iCs/>
          <w:color w:val="0D0D0D"/>
          <w:sz w:val="24"/>
          <w:szCs w:val="24"/>
        </w:rPr>
        <w:t>eLife</w:t>
      </w:r>
      <w:proofErr w:type="spellEnd"/>
      <w:r>
        <w:rPr>
          <w:rFonts w:ascii="Times New Roman" w:eastAsia="Times New Roman" w:hAnsi="Times New Roman" w:cs="Times New Roman"/>
          <w:i/>
          <w:iCs/>
          <w:color w:val="0D0D0D"/>
          <w:sz w:val="24"/>
          <w:szCs w:val="24"/>
        </w:rPr>
        <w:t>, 12</w:t>
      </w:r>
      <w:r>
        <w:rPr>
          <w:rFonts w:ascii="Times New Roman" w:eastAsia="Times New Roman" w:hAnsi="Times New Roman" w:cs="Times New Roman"/>
          <w:color w:val="0D0D0D"/>
          <w:sz w:val="24"/>
          <w:szCs w:val="24"/>
        </w:rPr>
        <w:t xml:space="preserve">, e79450. </w:t>
      </w:r>
      <w:hyperlink r:id="rId8">
        <w:r w:rsidR="008A5AA4">
          <w:rPr>
            <w:rFonts w:ascii="Times New Roman" w:eastAsia="Times New Roman" w:hAnsi="Times New Roman" w:cs="Times New Roman"/>
            <w:color w:val="0285FF"/>
            <w:sz w:val="24"/>
            <w:szCs w:val="24"/>
            <w:u w:val="single"/>
          </w:rPr>
          <w:t>https://doi.org/10.7554/eLife.79450</w:t>
        </w:r>
      </w:hyperlink>
    </w:p>
    <w:p w14:paraId="0000001B"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Kintsch, W. (1994). Text comprehension, memory, and learning. </w:t>
      </w:r>
      <w:r>
        <w:rPr>
          <w:rFonts w:ascii="Times New Roman" w:eastAsia="Times New Roman" w:hAnsi="Times New Roman" w:cs="Times New Roman"/>
          <w:i/>
          <w:iCs/>
          <w:color w:val="0D0D0D"/>
          <w:sz w:val="24"/>
          <w:szCs w:val="24"/>
        </w:rPr>
        <w:t>American Psychologist, 49</w:t>
      </w:r>
      <w:r>
        <w:rPr>
          <w:rFonts w:ascii="Times New Roman" w:eastAsia="Times New Roman" w:hAnsi="Times New Roman" w:cs="Times New Roman"/>
          <w:color w:val="0D0D0D"/>
          <w:sz w:val="24"/>
          <w:szCs w:val="24"/>
        </w:rPr>
        <w:t xml:space="preserve">(4), 294-303. </w:t>
      </w:r>
      <w:hyperlink r:id="rId9">
        <w:r w:rsidR="008A5AA4">
          <w:rPr>
            <w:rFonts w:ascii="Times New Roman" w:eastAsia="Times New Roman" w:hAnsi="Times New Roman" w:cs="Times New Roman"/>
            <w:color w:val="0285FF"/>
            <w:sz w:val="24"/>
            <w:szCs w:val="24"/>
            <w:u w:val="single"/>
          </w:rPr>
          <w:t>https://doi.org/10.1037/0003-066X.49.4.294</w:t>
        </w:r>
      </w:hyperlink>
    </w:p>
    <w:p w14:paraId="1856202F"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C"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Ma, W. J., Husain, M., &amp; Bays, P. M. (2014). Changing concepts of working memory. </w:t>
      </w:r>
      <w:r>
        <w:rPr>
          <w:rFonts w:ascii="Times New Roman" w:eastAsia="Times New Roman" w:hAnsi="Times New Roman" w:cs="Times New Roman"/>
          <w:i/>
          <w:iCs/>
          <w:color w:val="0D0D0D"/>
          <w:sz w:val="24"/>
          <w:szCs w:val="24"/>
        </w:rPr>
        <w:t>Nature Neuroscience, 17</w:t>
      </w:r>
      <w:r>
        <w:rPr>
          <w:rFonts w:ascii="Times New Roman" w:eastAsia="Times New Roman" w:hAnsi="Times New Roman" w:cs="Times New Roman"/>
          <w:color w:val="0D0D0D"/>
          <w:sz w:val="24"/>
          <w:szCs w:val="24"/>
        </w:rPr>
        <w:t xml:space="preserve">(3), 347-356. </w:t>
      </w:r>
      <w:hyperlink r:id="rId10">
        <w:r w:rsidR="008A5AA4">
          <w:rPr>
            <w:rFonts w:ascii="Times New Roman" w:eastAsia="Times New Roman" w:hAnsi="Times New Roman" w:cs="Times New Roman"/>
            <w:color w:val="0285FF"/>
            <w:sz w:val="24"/>
            <w:szCs w:val="24"/>
            <w:u w:val="single"/>
          </w:rPr>
          <w:t>https://doi.org/10.1038/nn.3655</w:t>
        </w:r>
      </w:hyperlink>
    </w:p>
    <w:p w14:paraId="751986D8"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D"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Nassar, M. R., Helmers, J. C., &amp; Frank, M. J. (2018). Chunking as a rational strategy for lossy data compression in visual working memory. </w:t>
      </w:r>
      <w:r>
        <w:rPr>
          <w:rFonts w:ascii="Times New Roman" w:eastAsia="Times New Roman" w:hAnsi="Times New Roman" w:cs="Times New Roman"/>
          <w:i/>
          <w:iCs/>
          <w:color w:val="0D0D0D"/>
          <w:sz w:val="24"/>
          <w:szCs w:val="24"/>
        </w:rPr>
        <w:t>Psychological Review, 125</w:t>
      </w:r>
      <w:r>
        <w:rPr>
          <w:rFonts w:ascii="Times New Roman" w:eastAsia="Times New Roman" w:hAnsi="Times New Roman" w:cs="Times New Roman"/>
          <w:color w:val="0D0D0D"/>
          <w:sz w:val="24"/>
          <w:szCs w:val="24"/>
        </w:rPr>
        <w:t xml:space="preserve">(4), 486-511. </w:t>
      </w:r>
      <w:hyperlink r:id="rId11">
        <w:r w:rsidR="008A5AA4">
          <w:rPr>
            <w:rFonts w:ascii="Times New Roman" w:eastAsia="Times New Roman" w:hAnsi="Times New Roman" w:cs="Times New Roman"/>
            <w:color w:val="0285FF"/>
            <w:sz w:val="24"/>
            <w:szCs w:val="24"/>
            <w:u w:val="single"/>
          </w:rPr>
          <w:t>https://doi.org/10.1037/rev0000101</w:t>
        </w:r>
      </w:hyperlink>
    </w:p>
    <w:p w14:paraId="76327AD2"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E"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r>
        <w:rPr>
          <w:rFonts w:ascii="Times New Roman" w:eastAsia="Times New Roman" w:hAnsi="Times New Roman" w:cs="Times New Roman"/>
          <w:color w:val="0D0D0D"/>
          <w:sz w:val="24"/>
          <w:szCs w:val="24"/>
        </w:rPr>
        <w:t xml:space="preserve">Sawicka, A. (2008). Dynamics of cognitive load theory: A model-based approach. </w:t>
      </w:r>
      <w:r>
        <w:rPr>
          <w:rFonts w:ascii="Times New Roman" w:eastAsia="Times New Roman" w:hAnsi="Times New Roman" w:cs="Times New Roman"/>
          <w:i/>
          <w:iCs/>
          <w:color w:val="0D0D0D"/>
          <w:sz w:val="24"/>
          <w:szCs w:val="24"/>
        </w:rPr>
        <w:t>Computers in Human Behavior, 24</w:t>
      </w:r>
      <w:r>
        <w:rPr>
          <w:rFonts w:ascii="Times New Roman" w:eastAsia="Times New Roman" w:hAnsi="Times New Roman" w:cs="Times New Roman"/>
          <w:color w:val="0D0D0D"/>
          <w:sz w:val="24"/>
          <w:szCs w:val="24"/>
        </w:rPr>
        <w:t xml:space="preserve">(3), 1041-1066. </w:t>
      </w:r>
      <w:hyperlink r:id="rId12">
        <w:r w:rsidR="008A5AA4">
          <w:rPr>
            <w:rFonts w:ascii="Times New Roman" w:eastAsia="Times New Roman" w:hAnsi="Times New Roman" w:cs="Times New Roman"/>
            <w:color w:val="0285FF"/>
            <w:sz w:val="24"/>
            <w:szCs w:val="24"/>
            <w:u w:val="single"/>
          </w:rPr>
          <w:t>https://doi.org/10.1016/j.chb.2007.03.007</w:t>
        </w:r>
      </w:hyperlink>
    </w:p>
    <w:p w14:paraId="094B954F"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1F"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(1988). Cognitive load during problem solving: Effects on learning. </w:t>
      </w:r>
      <w:r>
        <w:rPr>
          <w:rFonts w:ascii="Times New Roman" w:eastAsia="Times New Roman" w:hAnsi="Times New Roman" w:cs="Times New Roman"/>
          <w:i/>
          <w:iCs/>
          <w:color w:val="0D0D0D"/>
          <w:sz w:val="24"/>
          <w:szCs w:val="24"/>
        </w:rPr>
        <w:t>Cognitive Science, 12</w:t>
      </w:r>
      <w:r>
        <w:rPr>
          <w:rFonts w:ascii="Times New Roman" w:eastAsia="Times New Roman" w:hAnsi="Times New Roman" w:cs="Times New Roman"/>
          <w:color w:val="0D0D0D"/>
          <w:sz w:val="24"/>
          <w:szCs w:val="24"/>
        </w:rPr>
        <w:t xml:space="preserve">(2), 257-285. </w:t>
      </w:r>
      <w:hyperlink r:id="rId13">
        <w:r w:rsidR="008A5AA4">
          <w:rPr>
            <w:rFonts w:ascii="Times New Roman" w:eastAsia="Times New Roman" w:hAnsi="Times New Roman" w:cs="Times New Roman"/>
            <w:color w:val="0285FF"/>
            <w:sz w:val="24"/>
            <w:szCs w:val="24"/>
            <w:u w:val="single"/>
          </w:rPr>
          <w:t>https://doi.org/10.1016/0364-0213(88)90023-7</w:t>
        </w:r>
      </w:hyperlink>
    </w:p>
    <w:p w14:paraId="2C6C0E48"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20"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(2010). Element interactivity and intrinsic, extraneous, and germane cognitive load. </w:t>
      </w:r>
      <w:r>
        <w:rPr>
          <w:rFonts w:ascii="Times New Roman" w:eastAsia="Times New Roman" w:hAnsi="Times New Roman" w:cs="Times New Roman"/>
          <w:i/>
          <w:iCs/>
          <w:color w:val="0D0D0D"/>
          <w:sz w:val="24"/>
          <w:szCs w:val="24"/>
        </w:rPr>
        <w:t>Educational Psychology Review, 22</w:t>
      </w:r>
      <w:r>
        <w:rPr>
          <w:rFonts w:ascii="Times New Roman" w:eastAsia="Times New Roman" w:hAnsi="Times New Roman" w:cs="Times New Roman"/>
          <w:color w:val="0D0D0D"/>
          <w:sz w:val="24"/>
          <w:szCs w:val="24"/>
        </w:rPr>
        <w:t xml:space="preserve">(2), 123-138. </w:t>
      </w:r>
      <w:hyperlink r:id="rId14">
        <w:r w:rsidR="008A5AA4">
          <w:rPr>
            <w:rFonts w:ascii="Times New Roman" w:eastAsia="Times New Roman" w:hAnsi="Times New Roman" w:cs="Times New Roman"/>
            <w:color w:val="0285FF"/>
            <w:sz w:val="24"/>
            <w:szCs w:val="24"/>
            <w:u w:val="single"/>
          </w:rPr>
          <w:t>https://doi.org/10.1007/s10648-010-9128-5</w:t>
        </w:r>
      </w:hyperlink>
    </w:p>
    <w:p w14:paraId="5EB56DC8"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21"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pPr>
      <w:proofErr w:type="spellStart"/>
      <w:r>
        <w:rPr>
          <w:rFonts w:ascii="Times New Roman" w:eastAsia="Times New Roman" w:hAnsi="Times New Roman" w:cs="Times New Roman"/>
          <w:color w:val="0D0D0D"/>
          <w:sz w:val="24"/>
          <w:szCs w:val="24"/>
        </w:rPr>
        <w:t>Sweller</w:t>
      </w:r>
      <w:proofErr w:type="spellEnd"/>
      <w:r>
        <w:rPr>
          <w:rFonts w:ascii="Times New Roman" w:eastAsia="Times New Roman" w:hAnsi="Times New Roman" w:cs="Times New Roman"/>
          <w:color w:val="0D0D0D"/>
          <w:sz w:val="24"/>
          <w:szCs w:val="24"/>
        </w:rPr>
        <w:t xml:space="preserve">, J., van </w:t>
      </w:r>
      <w:proofErr w:type="spellStart"/>
      <w:r>
        <w:rPr>
          <w:rFonts w:ascii="Times New Roman" w:eastAsia="Times New Roman" w:hAnsi="Times New Roman" w:cs="Times New Roman"/>
          <w:color w:val="0D0D0D"/>
          <w:sz w:val="24"/>
          <w:szCs w:val="24"/>
        </w:rPr>
        <w:t>Merriënboer</w:t>
      </w:r>
      <w:proofErr w:type="spellEnd"/>
      <w:r>
        <w:rPr>
          <w:rFonts w:ascii="Times New Roman" w:eastAsia="Times New Roman" w:hAnsi="Times New Roman" w:cs="Times New Roman"/>
          <w:color w:val="0D0D0D"/>
          <w:sz w:val="24"/>
          <w:szCs w:val="24"/>
        </w:rPr>
        <w:t xml:space="preserve">, J. J. G., &amp; Paas, F. (2019). Cognitive architecture and instructional design: 20 years later. </w:t>
      </w:r>
      <w:r>
        <w:rPr>
          <w:rFonts w:ascii="Times New Roman" w:eastAsia="Times New Roman" w:hAnsi="Times New Roman" w:cs="Times New Roman"/>
          <w:i/>
          <w:iCs/>
          <w:color w:val="0D0D0D"/>
          <w:sz w:val="24"/>
          <w:szCs w:val="24"/>
        </w:rPr>
        <w:t>Educational Psychology Review, 31</w:t>
      </w:r>
      <w:r>
        <w:rPr>
          <w:rFonts w:ascii="Times New Roman" w:eastAsia="Times New Roman" w:hAnsi="Times New Roman" w:cs="Times New Roman"/>
          <w:color w:val="0D0D0D"/>
          <w:sz w:val="24"/>
          <w:szCs w:val="24"/>
        </w:rPr>
        <w:t xml:space="preserve">(2), 261-292. </w:t>
      </w:r>
      <w:hyperlink r:id="rId15">
        <w:r w:rsidR="008A5AA4">
          <w:rPr>
            <w:rFonts w:ascii="Times New Roman" w:eastAsia="Times New Roman" w:hAnsi="Times New Roman" w:cs="Times New Roman"/>
            <w:color w:val="0285FF"/>
            <w:sz w:val="24"/>
            <w:szCs w:val="24"/>
            <w:u w:val="single"/>
          </w:rPr>
          <w:t>https://doi.org/10.1007/s10648-019-09465-5</w:t>
        </w:r>
      </w:hyperlink>
    </w:p>
    <w:p w14:paraId="77F63F96" w14:textId="77777777" w:rsidR="00CF56C5" w:rsidRDefault="00CF56C5"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line="240" w:lineRule="auto"/>
        <w:ind w:left="1077" w:hanging="720"/>
        <w:jc w:val="both"/>
        <w:rPr>
          <w:rFonts w:ascii="Times New Roman" w:eastAsia="Times New Roman" w:hAnsi="Times New Roman" w:cs="Times New Roman"/>
          <w:sz w:val="24"/>
          <w:szCs w:val="24"/>
        </w:rPr>
      </w:pPr>
    </w:p>
    <w:p w14:paraId="00000022" w14:textId="77777777" w:rsidR="008A5AA4" w:rsidRDefault="00000000" w:rsidP="00CF56C5">
      <w:pPr>
        <w:pBdr>
          <w:top w:val="none" w:sz="0" w:space="0" w:color="0D0D0D"/>
          <w:left w:val="none" w:sz="0" w:space="0" w:color="0D0D0D"/>
          <w:bottom w:val="none" w:sz="0" w:space="0" w:color="0D0D0D"/>
          <w:right w:val="none" w:sz="0" w:space="0" w:color="0D0D0D"/>
          <w:between w:val="none" w:sz="0" w:space="0" w:color="0D0D0D"/>
        </w:pBdr>
        <w:shd w:val="clear" w:color="auto" w:fill="FFFFFF"/>
        <w:spacing w:after="120" w:line="240" w:lineRule="auto"/>
        <w:ind w:left="1077" w:hanging="720"/>
        <w:jc w:val="both"/>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rPr>
        <w:t xml:space="preserve">van den Berg, R., &amp; Ma, W. J. (2018). A resource-rational theory of set size effects in human visual working memory. </w:t>
      </w:r>
      <w:proofErr w:type="spellStart"/>
      <w:r>
        <w:rPr>
          <w:rFonts w:ascii="Times New Roman" w:eastAsia="Times New Roman" w:hAnsi="Times New Roman" w:cs="Times New Roman"/>
          <w:i/>
          <w:iCs/>
          <w:color w:val="0D0D0D"/>
          <w:sz w:val="24"/>
          <w:szCs w:val="24"/>
        </w:rPr>
        <w:t>eLife</w:t>
      </w:r>
      <w:proofErr w:type="spellEnd"/>
      <w:r>
        <w:rPr>
          <w:rFonts w:ascii="Times New Roman" w:eastAsia="Times New Roman" w:hAnsi="Times New Roman" w:cs="Times New Roman"/>
          <w:i/>
          <w:iCs/>
          <w:color w:val="0D0D0D"/>
          <w:sz w:val="24"/>
          <w:szCs w:val="24"/>
        </w:rPr>
        <w:t>, 7</w:t>
      </w:r>
      <w:r>
        <w:rPr>
          <w:rFonts w:ascii="Times New Roman" w:eastAsia="Times New Roman" w:hAnsi="Times New Roman" w:cs="Times New Roman"/>
          <w:color w:val="0D0D0D"/>
          <w:sz w:val="24"/>
          <w:szCs w:val="24"/>
        </w:rPr>
        <w:t xml:space="preserve">, e34963. </w:t>
      </w:r>
      <w:hyperlink r:id="rId16">
        <w:r w:rsidR="008A5AA4">
          <w:rPr>
            <w:rFonts w:ascii="Times New Roman" w:eastAsia="Times New Roman" w:hAnsi="Times New Roman" w:cs="Times New Roman"/>
            <w:color w:val="0285FF"/>
            <w:sz w:val="24"/>
            <w:szCs w:val="24"/>
            <w:u w:val="single"/>
          </w:rPr>
          <w:t>https://doi.org/10.7554/eLife.34963</w:t>
        </w:r>
      </w:hyperlink>
    </w:p>
    <w:sectPr w:rsidR="008A5A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8C84E98-22C5-B341-AECB-BF78D9281B10}"/>
    <w:embedBold r:id="rId2" w:fontKey="{6FE38148-BB7C-6743-88A1-46A50D26FB8D}"/>
    <w:embedItalic r:id="rId3" w:fontKey="{D0F61EE3-932A-AC45-963A-501E34D662C0}"/>
    <w:embedBoldItalic r:id="rId4" w:fontKey="{2AB809B3-6726-CC4D-B55D-5F4077B8F5DD}"/>
  </w:font>
  <w:font w:name="Arial">
    <w:panose1 w:val="020B0604020202020204"/>
    <w:charset w:val="00"/>
    <w:family w:val="swiss"/>
    <w:pitch w:val="variable"/>
    <w:sig w:usb0="E0002AFF" w:usb1="C0007843" w:usb2="00000009" w:usb3="00000000" w:csb0="000001FF" w:csb1="00000000"/>
    <w:embedRegular r:id="rId5" w:fontKey="{9EADE2ED-6B5E-0B46-B5BD-ABAEC039D93E}"/>
    <w:embedItalic r:id="rId6" w:fontKey="{5A107B86-9D54-304D-A6C8-8488E3F527A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E2E9A50C-21FA-5A4D-92E9-451A485337E9}"/>
  </w:font>
  <w:font w:name="Cambria">
    <w:panose1 w:val="02040503050406030204"/>
    <w:charset w:val="00"/>
    <w:family w:val="roman"/>
    <w:pitch w:val="variable"/>
    <w:sig w:usb0="E00006FF" w:usb1="420024FF" w:usb2="02000000" w:usb3="00000000" w:csb0="0000019F" w:csb1="00000000"/>
    <w:embedRegular r:id="rId8" w:fontKey="{E1E4ACA6-3C39-3E46-8109-4FC7307BBF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A0D47"/>
    <w:multiLevelType w:val="multilevel"/>
    <w:tmpl w:val="07165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027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AA4"/>
    <w:rsid w:val="008A5AA4"/>
    <w:rsid w:val="00960D40"/>
    <w:rsid w:val="00A93BD5"/>
    <w:rsid w:val="00CF56C5"/>
    <w:rsid w:val="00D87E2E"/>
    <w:rsid w:val="00DA6533"/>
    <w:rsid w:val="00F034D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F38554"/>
  <w15:docId w15:val="{B36A5DDF-C0B6-5A4B-A03E-B17B8DE5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7554/eLife.79450" TargetMode="External"/><Relationship Id="rId13" Type="http://schemas.openxmlformats.org/officeDocument/2006/relationships/hyperlink" Target="https://doi.org/10.1016/0364-0213(88)90023-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s10648-023-09782-w" TargetMode="External"/><Relationship Id="rId12" Type="http://schemas.openxmlformats.org/officeDocument/2006/relationships/hyperlink" Target="https://doi.org/10.1016/j.chb.2007.03.00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7554/eLife.34963" TargetMode="External"/><Relationship Id="rId1" Type="http://schemas.openxmlformats.org/officeDocument/2006/relationships/numbering" Target="numbering.xml"/><Relationship Id="rId6" Type="http://schemas.openxmlformats.org/officeDocument/2006/relationships/hyperlink" Target="https://doi.org/10.1126/science.1736359" TargetMode="External"/><Relationship Id="rId11" Type="http://schemas.openxmlformats.org/officeDocument/2006/relationships/hyperlink" Target="https://doi.org/10.1037/rev0000101" TargetMode="External"/><Relationship Id="rId5" Type="http://schemas.openxmlformats.org/officeDocument/2006/relationships/hyperlink" Target="https://doi.org/10.1080/00461520.2018.1554484" TargetMode="External"/><Relationship Id="rId15" Type="http://schemas.openxmlformats.org/officeDocument/2006/relationships/hyperlink" Target="https://doi.org/10.1007/s10648-019-09465-5" TargetMode="External"/><Relationship Id="rId10" Type="http://schemas.openxmlformats.org/officeDocument/2006/relationships/hyperlink" Target="https://doi.org/10.1038/nn.3655" TargetMode="External"/><Relationship Id="rId4" Type="http://schemas.openxmlformats.org/officeDocument/2006/relationships/webSettings" Target="webSettings.xml"/><Relationship Id="rId9" Type="http://schemas.openxmlformats.org/officeDocument/2006/relationships/hyperlink" Target="https://doi.org/10.1037/0003-066X.49.4.294" TargetMode="External"/><Relationship Id="rId14" Type="http://schemas.openxmlformats.org/officeDocument/2006/relationships/hyperlink" Target="https://doi.org/10.1007/s10648-010-9128-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1838</Words>
  <Characters>11161</Characters>
  <Application>Microsoft Office Word</Application>
  <DocSecurity>0</DocSecurity>
  <Lines>171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Yifan YANG</cp:lastModifiedBy>
  <cp:revision>4</cp:revision>
  <dcterms:created xsi:type="dcterms:W3CDTF">2026-03-15T18:04:00Z</dcterms:created>
  <dcterms:modified xsi:type="dcterms:W3CDTF">2026-03-16T03:50:00Z</dcterms:modified>
</cp:coreProperties>
</file>