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D15E7D2" w:rsidR="008A5AA4" w:rsidRDefault="00000000">
      <w:pPr>
        <w:pStyle w:val="Heading1"/>
        <w:keepNext w:val="0"/>
        <w:keepLines w:val="0"/>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rPr>
          <w:rFonts w:ascii="Times New Roman" w:eastAsia="Times New Roman" w:hAnsi="Times New Roman" w:cs="Times New Roman"/>
          <w:color w:val="0D0D0D"/>
          <w:sz w:val="24"/>
          <w:szCs w:val="24"/>
        </w:rPr>
      </w:pPr>
      <w:bookmarkStart w:id="0" w:name="_rk7okka59tos" w:colFirst="0" w:colLast="0"/>
      <w:bookmarkEnd w:id="0"/>
      <w:r>
        <w:rPr>
          <w:rFonts w:ascii="Times New Roman" w:eastAsia="Times New Roman" w:hAnsi="Times New Roman" w:cs="Times New Roman"/>
          <w:color w:val="0D0D0D"/>
          <w:sz w:val="24"/>
          <w:szCs w:val="24"/>
        </w:rPr>
        <w:t>Yifan Yang</w:t>
      </w:r>
      <w:bookmarkStart w:id="1" w:name="_73xxedh9gcgi" w:colFirst="0" w:colLast="0"/>
      <w:bookmarkEnd w:id="1"/>
      <w:r w:rsidR="00CF56C5">
        <w:rPr>
          <w:rFonts w:ascii="Times New Roman" w:eastAsia="Times New Roman" w:hAnsi="Times New Roman" w:cs="Times New Roman"/>
          <w:color w:val="0D0D0D"/>
          <w:sz w:val="24"/>
          <w:szCs w:val="24"/>
        </w:rPr>
        <w:br/>
      </w:r>
      <w:r>
        <w:rPr>
          <w:rFonts w:ascii="Times New Roman" w:eastAsia="Times New Roman" w:hAnsi="Times New Roman" w:cs="Times New Roman"/>
          <w:color w:val="0D0D0D"/>
          <w:sz w:val="24"/>
          <w:szCs w:val="24"/>
        </w:rPr>
        <w:t>Educational Psychology 506</w:t>
      </w:r>
      <w:bookmarkStart w:id="2" w:name="_arjm2ly0520i" w:colFirst="0" w:colLast="0"/>
      <w:bookmarkEnd w:id="2"/>
      <w:r w:rsidR="00CF56C5">
        <w:rPr>
          <w:rFonts w:ascii="Times New Roman" w:eastAsia="Times New Roman" w:hAnsi="Times New Roman" w:cs="Times New Roman"/>
          <w:color w:val="0D0D0D"/>
          <w:sz w:val="24"/>
          <w:szCs w:val="24"/>
        </w:rPr>
        <w:br/>
      </w:r>
      <w:r>
        <w:rPr>
          <w:rFonts w:ascii="Times New Roman" w:eastAsia="Times New Roman" w:hAnsi="Times New Roman" w:cs="Times New Roman"/>
          <w:color w:val="0D0D0D"/>
          <w:sz w:val="24"/>
          <w:szCs w:val="24"/>
        </w:rPr>
        <w:t xml:space="preserve">Literature Review </w:t>
      </w:r>
    </w:p>
    <w:p w14:paraId="00000004" w14:textId="77777777" w:rsidR="008A5AA4" w:rsidRDefault="008A5AA4">
      <w:pPr>
        <w:pStyle w:val="Heading1"/>
        <w:keepNext w:val="0"/>
        <w:keepLines w:val="0"/>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rPr>
          <w:rFonts w:ascii="Times New Roman" w:eastAsia="Times New Roman" w:hAnsi="Times New Roman" w:cs="Times New Roman"/>
          <w:b/>
          <w:bCs/>
          <w:color w:val="0D0D0D"/>
          <w:sz w:val="24"/>
          <w:szCs w:val="24"/>
        </w:rPr>
      </w:pPr>
      <w:bookmarkStart w:id="3" w:name="_5b3yuf18k5rz" w:colFirst="0" w:colLast="0"/>
      <w:bookmarkEnd w:id="3"/>
    </w:p>
    <w:p w14:paraId="00000005" w14:textId="77777777" w:rsidR="008A5AA4" w:rsidRDefault="00000000">
      <w:pPr>
        <w:pStyle w:val="Heading1"/>
        <w:keepNext w:val="0"/>
        <w:keepLines w:val="0"/>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rPr>
          <w:rFonts w:ascii="Times New Roman" w:eastAsia="Times New Roman" w:hAnsi="Times New Roman" w:cs="Times New Roman"/>
          <w:b/>
          <w:bCs/>
          <w:i/>
          <w:iCs/>
          <w:sz w:val="24"/>
          <w:szCs w:val="24"/>
        </w:rPr>
      </w:pPr>
      <w:bookmarkStart w:id="4" w:name="_2ofzy0pncsan" w:colFirst="0" w:colLast="0"/>
      <w:bookmarkEnd w:id="4"/>
      <w:r>
        <w:rPr>
          <w:rFonts w:ascii="Times New Roman" w:eastAsia="Times New Roman" w:hAnsi="Times New Roman" w:cs="Times New Roman"/>
          <w:b/>
          <w:bCs/>
          <w:i/>
          <w:iCs/>
          <w:color w:val="0D0D0D"/>
          <w:sz w:val="24"/>
          <w:szCs w:val="24"/>
        </w:rPr>
        <w:t>Optimization Model of Cognitive Processing Under Working Memory Capacity Constraints</w:t>
      </w:r>
      <w:r>
        <w:rPr>
          <w:rFonts w:ascii="Times New Roman" w:eastAsia="Times New Roman" w:hAnsi="Times New Roman" w:cs="Times New Roman"/>
          <w:b/>
          <w:bCs/>
          <w:i/>
          <w:iCs/>
          <w:color w:val="0D0D0D"/>
          <w:sz w:val="24"/>
          <w:szCs w:val="24"/>
        </w:rPr>
        <w:br/>
      </w:r>
    </w:p>
    <w:p w14:paraId="00000006" w14:textId="03B43794" w:rsidR="008A5AA4"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Cognitive load theory (CLT) remains one of the clearest explanations of why instructional design matters for learning. It is also a useful starting point for asking a more specific question: how should learning under capacity limits be described in a more formal way? </w:t>
      </w: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xml:space="preserve"> (1988) argued early on that problem solving and learning are not the same process. Search procedures such as means–ends analysis may help learners reach an immediate goal, but they can also consume cognitive resources that might otherwise support schema acquisition. Later work refined this account by distinguishing intrinsic and extraneous cognitive load and by identifying element interactivity as a key source of task difficulty (</w:t>
      </w: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2010). More recent formulations of cognitive architecture also emphasized the roles of prior knowledge, long-term memory, and the changing status of novelty in working memory (</w:t>
      </w: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xml:space="preserve"> et al., 2019). Together, these contributions explain why limited capacity matters. However, they still leave one issue underdeveloped: CLT remains largely verbal at the point where task structure, processing cost, and learning outcomes should be linked precisely. As </w:t>
      </w:r>
      <w:proofErr w:type="spellStart"/>
      <w:r>
        <w:rPr>
          <w:rFonts w:ascii="Times New Roman" w:eastAsia="Times New Roman" w:hAnsi="Times New Roman" w:cs="Times New Roman"/>
          <w:sz w:val="24"/>
          <w:szCs w:val="24"/>
        </w:rPr>
        <w:t>Anmarkrud</w:t>
      </w:r>
      <w:proofErr w:type="spellEnd"/>
      <w:r>
        <w:rPr>
          <w:rFonts w:ascii="Times New Roman" w:eastAsia="Times New Roman" w:hAnsi="Times New Roman" w:cs="Times New Roman"/>
          <w:sz w:val="24"/>
          <w:szCs w:val="24"/>
        </w:rPr>
        <w:t xml:space="preserve"> et al. (2019) noted, research in multimedia learning often invokes working memory and cognitive load without specifying them carefully enough, and it frequently relies on limited measures of load. For that reason, the present review argues that CLT identifies the right educational problem, but does not yet provide a sufficiently precise account of how the organization of information generates processing cost.</w:t>
      </w:r>
    </w:p>
    <w:p w14:paraId="4F4BE3D3" w14:textId="77777777" w:rsidR="00CF56C5" w:rsidRDefault="00CF56C5">
      <w:pPr>
        <w:spacing w:before="240" w:after="240" w:line="240" w:lineRule="auto"/>
        <w:jc w:val="both"/>
        <w:rPr>
          <w:rFonts w:ascii="Times New Roman" w:eastAsia="Times New Roman" w:hAnsi="Times New Roman" w:cs="Times New Roman"/>
          <w:sz w:val="24"/>
          <w:szCs w:val="24"/>
        </w:rPr>
      </w:pPr>
    </w:p>
    <w:p w14:paraId="00000007" w14:textId="00D3901A" w:rsidR="008A5AA4"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way to sharpen that account is to treat working memory not simply as a label for difficulty, but as a limited resource system. Baddeley (1992) already described working memory as more than passive short-term storage; it is a system for temporary storage and manipulation in the service of reasoning, comprehension, and learning. More recent research pushes this view further by treating capacity as graded and allocable. Ma et al. (2014) argued that working-memory limits are often better understood in terms of representational precision than in terms of a fixed number of slots. On this view, resources can be distributed flexibly across items depending on task demands. van den Berg and Ma (2018) formalized this idea more explicitly by modeling memory investment as a rational trade-off between behavioral error and neural cost. This shift changes the unit of analysis. Capacity is no longer only about how many items can be kept active at once; it is also about how much representational quality can be invested, withheld, or redistributed across components of a task. These papers are not models of instructional design, but they change the baseline for thinking about it. Once working memory is treated as limited, allocable, and costly, the question is no longer just whether some material produces high load. The more informative question becomes what properties of the material make processing expensive in the first place.</w:t>
      </w:r>
    </w:p>
    <w:p w14:paraId="2A3CFD71" w14:textId="77777777" w:rsidR="00CF56C5" w:rsidRDefault="00CF56C5">
      <w:pPr>
        <w:spacing w:before="240" w:after="240" w:line="240" w:lineRule="auto"/>
        <w:jc w:val="both"/>
        <w:rPr>
          <w:rFonts w:ascii="Times New Roman" w:eastAsia="Times New Roman" w:hAnsi="Times New Roman" w:cs="Times New Roman"/>
          <w:sz w:val="24"/>
          <w:szCs w:val="24"/>
        </w:rPr>
      </w:pPr>
    </w:p>
    <w:p w14:paraId="00000008" w14:textId="5620251F" w:rsidR="008A5AA4"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CLT offers a strong answer to that question, but still mainly in conceptual rather than formal terms. </w:t>
      </w: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xml:space="preserve"> (2010) argued that intrinsic load depends on element interactivity rather than on the raw number of information units alone. A task may contain many elements and still remain manageable if those elements can be processed independently. By contrast, even a smaller set of elements can become demanding when understanding requires simultaneous coordination among them. Chen et al. (2023) sharpened this point by distinguishing task complexity from task difficulty and by emphasizing that complexity depends on both the structure of information and the learner’s prior knowledge. Read together with </w:t>
      </w:r>
      <w:proofErr w:type="spellStart"/>
      <w:r>
        <w:rPr>
          <w:rFonts w:ascii="Times New Roman" w:eastAsia="Times New Roman" w:hAnsi="Times New Roman" w:cs="Times New Roman"/>
          <w:sz w:val="24"/>
          <w:szCs w:val="24"/>
        </w:rPr>
        <w:t>Sweller’s</w:t>
      </w:r>
      <w:proofErr w:type="spellEnd"/>
      <w:r>
        <w:rPr>
          <w:rFonts w:ascii="Times New Roman" w:eastAsia="Times New Roman" w:hAnsi="Times New Roman" w:cs="Times New Roman"/>
          <w:sz w:val="24"/>
          <w:szCs w:val="24"/>
        </w:rPr>
        <w:t xml:space="preserve"> earlier analysis of search burden during problem solving (</w:t>
      </w: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1988), this literature suggests that instructional cost depends on at least three structural features: how much information must be handled, how complex each element is, and how strongly the elements must be coordinated at the same time. This account is highly useful, but it still leaves open a central design problem. It does not yet specify how these structural features should be represented when information is divided, sequenced, or reformatted for instructional purposes.</w:t>
      </w:r>
    </w:p>
    <w:p w14:paraId="7C975EE3" w14:textId="77777777" w:rsidR="00CF56C5" w:rsidRDefault="00CF56C5">
      <w:pPr>
        <w:spacing w:before="240" w:after="240" w:line="240" w:lineRule="auto"/>
        <w:jc w:val="both"/>
        <w:rPr>
          <w:rFonts w:ascii="Times New Roman" w:eastAsia="Times New Roman" w:hAnsi="Times New Roman" w:cs="Times New Roman"/>
          <w:sz w:val="24"/>
          <w:szCs w:val="24"/>
        </w:rPr>
      </w:pPr>
    </w:p>
    <w:p w14:paraId="00000009" w14:textId="64967F1D" w:rsidR="008A5AA4"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problem becomes especially clear in discussions of segmentation. Within CLT, segmentation and related design strategies are usually justified on the grounds that they reduce unnecessary simultaneous processing and free resources for essential learning (</w:t>
      </w: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xml:space="preserve"> et al., 2019). This logic is important, but it does not settle the whole issue. Segmenting material may reduce immediate coordination demands within a given unit, yet it may also move the burden to a later stage, when learners must reconnect the separated relations on their own. In other words, segmentation may not eliminate difficulty so much as redistribute it. </w:t>
      </w:r>
      <w:proofErr w:type="spellStart"/>
      <w:r>
        <w:rPr>
          <w:rFonts w:ascii="Times New Roman" w:eastAsia="Times New Roman" w:hAnsi="Times New Roman" w:cs="Times New Roman"/>
          <w:sz w:val="24"/>
          <w:szCs w:val="24"/>
        </w:rPr>
        <w:t>Anmarkrud</w:t>
      </w:r>
      <w:proofErr w:type="spellEnd"/>
      <w:r>
        <w:rPr>
          <w:rFonts w:ascii="Times New Roman" w:eastAsia="Times New Roman" w:hAnsi="Times New Roman" w:cs="Times New Roman"/>
          <w:sz w:val="24"/>
          <w:szCs w:val="24"/>
        </w:rPr>
        <w:t xml:space="preserve"> et al. (2019) pointed out that the multimedia learning literature often treats lower reported load as sufficient evidence of better processing, even when the underlying concepts of working memory and learning remain underspecified. That critique matters here because lower local burden does not necessarily imply better learning. A design can make processing easier in the moment while still weakening the structure learners need to build for later understanding and transfer. A theory that tracks only local relief therefore risks overlooking a possible cost of fragmentation.</w:t>
      </w:r>
    </w:p>
    <w:p w14:paraId="1398B64E" w14:textId="77777777" w:rsidR="00CF56C5" w:rsidRDefault="00CF56C5">
      <w:pPr>
        <w:spacing w:before="240" w:after="240" w:line="240" w:lineRule="auto"/>
        <w:jc w:val="both"/>
        <w:rPr>
          <w:rFonts w:ascii="Times New Roman" w:eastAsia="Times New Roman" w:hAnsi="Times New Roman" w:cs="Times New Roman"/>
          <w:sz w:val="24"/>
          <w:szCs w:val="24"/>
        </w:rPr>
      </w:pPr>
    </w:p>
    <w:p w14:paraId="0000000A" w14:textId="27D78F14" w:rsidR="008A5AA4"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Kintsch’s (1994) account of text comprehension helps clarify why this issue matters. He distinguished remembering a text from learning from it. Learners may retain propositions from a passage and still fail to construct a situation model that supports inference and transfer. From this perspective, coherence is not merely a desirable presentational feature; it is a condition for building a representation in which relations among elements remain usable rather than merely available. Prior knowledge also matters. High-coherence materials may be particularly helpful for learners with weak prior knowledge, whereas less explicit materials may sometimes encourage deeper constructive processing in learners who already possess relevant schemas. This perspective sharpens an issue that often remains implicit in standard CLT discussions of segmentation. Learning outcomes are not all equally vulnerable to structural disruption. Recall may survive when material has been broken into manageable parts, but transfer should be more sensitive to the weakening of relations across those parts. Transfer depends on reusing relational structure in a new context, not simply reproducing isolated elements. Kintsch’s framework therefore strengthens the argument that reducing processing burden is not the only goal of instructional design. At the </w:t>
      </w:r>
      <w:r>
        <w:rPr>
          <w:rFonts w:ascii="Times New Roman" w:eastAsia="Times New Roman" w:hAnsi="Times New Roman" w:cs="Times New Roman"/>
          <w:sz w:val="24"/>
          <w:szCs w:val="24"/>
        </w:rPr>
        <w:lastRenderedPageBreak/>
        <w:t>same time, it does not provide a capacity-based objective for deciding when a local reduction in burden is worth a possible loss of overall coherence.</w:t>
      </w:r>
    </w:p>
    <w:p w14:paraId="4E40D27B" w14:textId="77777777" w:rsidR="00CF56C5" w:rsidRDefault="00CF56C5">
      <w:pPr>
        <w:spacing w:before="240" w:after="240" w:line="240" w:lineRule="auto"/>
        <w:jc w:val="both"/>
        <w:rPr>
          <w:rFonts w:ascii="Times New Roman" w:eastAsia="Times New Roman" w:hAnsi="Times New Roman" w:cs="Times New Roman"/>
          <w:sz w:val="24"/>
          <w:szCs w:val="24"/>
        </w:rPr>
      </w:pPr>
    </w:p>
    <w:p w14:paraId="0000000B" w14:textId="39D8D3C4" w:rsidR="008A5AA4"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this point, adjacent formal literatures become relevant. Sawicka (2008) showed that mathematical formalization is not foreign to CLT by building a system-dynamics model linking instructional support, learner knowledge, and the major load categories. Outside the CLT literature, several other approaches provide useful conceptual tools. van den Berg and Ma (2018) modeled working-memory investment as rational cost minimization. Nassar et al. (2018) described chunking as a lossy compression strategy that trades fidelity for efficiency. Jakob and Gershman (2023) used rate-distortion theory to formalize the relationship between capacity limits and memory error. These models differ in domain and level of analysis, but they share an important commitment: limited cognition can be described as optimization under constraints rather than as a vague bottleneck. They also illuminate different aspects of the present problem. Nassar et al. suggest that efficiency gains may come from compression, whereas Jakob and Gershman show that reducing distortion always carries an information cost. These insights make a formal trade-off perspective more plausible for multimedia learning. However, they do not yet directly address instructional material whose difficulty arises from the need to coordinate interdependent elements rather than simply encode multiple similar features. Nor do they distinguish intrinsic from extraneous cost in the CLT sense, or ask how partitioning material changes both local processing demands and the preservation of relations across parts.</w:t>
      </w:r>
    </w:p>
    <w:p w14:paraId="2C79059B" w14:textId="77777777" w:rsidR="00CF56C5" w:rsidRDefault="00CF56C5">
      <w:pPr>
        <w:spacing w:before="240" w:after="240" w:line="240" w:lineRule="auto"/>
        <w:jc w:val="both"/>
        <w:rPr>
          <w:rFonts w:ascii="Times New Roman" w:eastAsia="Times New Roman" w:hAnsi="Times New Roman" w:cs="Times New Roman"/>
          <w:sz w:val="24"/>
          <w:szCs w:val="24"/>
        </w:rPr>
      </w:pPr>
    </w:p>
    <w:p w14:paraId="00000013" w14:textId="6A732D12" w:rsidR="008A5AA4" w:rsidRPr="00CF56C5" w:rsidRDefault="00000000" w:rsidP="00CF56C5">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resulting gap is therefore narrower and more defensible than the claim that cognition under limits has never been formalized. The literature already explains why capacity limits matter, why element interactivity is central to intrinsic cognitive load, why coherence matters for understanding and transfer, and why optimization is a legitimate framework for describing limited memory. The problem is that these insights remain distributed across separate theoretical traditions. CLT identifies the educational problem, but remains under-formalized when task structure must be represented precisely. Comprehension theory explains why preserving relations matters for meaningful learning, but it does not provide a cost framework. Formal models of working memory, chunking, and compression provide stronger optimization-based tools, but they rarely target the partitioning of instructional material whose elements must be understood in relation to one another. The central instructional question is therefore not whether material should be simplified in general, but what kind of simplification preserves enough structure for later use. A productive next step is thus a formal account of how information should be partitioned under capacity constraints when the aim is not only to reduce local processing difficulty, but also to preserve enough relational structure to support learning and transfer.</w:t>
      </w:r>
      <w:bookmarkStart w:id="5" w:name="_b90mvcwqhu23" w:colFirst="0" w:colLast="0"/>
      <w:bookmarkStart w:id="6" w:name="_uoht7pc3boa9" w:colFirst="0" w:colLast="0"/>
      <w:bookmarkEnd w:id="5"/>
      <w:bookmarkEnd w:id="6"/>
    </w:p>
    <w:p w14:paraId="00000014" w14:textId="77777777" w:rsidR="008A5AA4" w:rsidRDefault="008A5AA4">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390" w:lineRule="auto"/>
        <w:rPr>
          <w:rFonts w:ascii="Times New Roman" w:eastAsia="Times New Roman" w:hAnsi="Times New Roman" w:cs="Times New Roman"/>
          <w:color w:val="0D0D0D"/>
          <w:sz w:val="24"/>
          <w:szCs w:val="24"/>
        </w:rPr>
      </w:pPr>
    </w:p>
    <w:p w14:paraId="00000015" w14:textId="77777777" w:rsidR="008A5AA4" w:rsidRDefault="008A5AA4">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390" w:lineRule="auto"/>
        <w:rPr>
          <w:rFonts w:ascii="Times New Roman" w:eastAsia="Times New Roman" w:hAnsi="Times New Roman" w:cs="Times New Roman"/>
          <w:color w:val="0D0D0D"/>
          <w:sz w:val="24"/>
          <w:szCs w:val="24"/>
        </w:rPr>
      </w:pPr>
    </w:p>
    <w:p w14:paraId="1F1D23CF" w14:textId="77777777" w:rsidR="00D87E2E" w:rsidRPr="00F45F06" w:rsidRDefault="00D87E2E">
      <w:pPr>
        <w:rPr>
          <w:rFonts w:ascii="Times New Roman" w:eastAsia="Times New Roman" w:hAnsi="Times New Roman" w:cs="Times New Roman" w:hint="eastAsia"/>
          <w:b/>
          <w:bCs/>
          <w:i/>
          <w:iCs/>
          <w:color w:val="0D0D0D"/>
          <w:sz w:val="24"/>
          <w:szCs w:val="24"/>
          <w:lang w:val="en-US"/>
        </w:rPr>
      </w:pPr>
      <w:r>
        <w:rPr>
          <w:rFonts w:ascii="Times New Roman" w:eastAsia="Times New Roman" w:hAnsi="Times New Roman" w:cs="Times New Roman"/>
          <w:b/>
          <w:bCs/>
          <w:i/>
          <w:iCs/>
          <w:color w:val="0D0D0D"/>
          <w:sz w:val="24"/>
          <w:szCs w:val="24"/>
        </w:rPr>
        <w:br w:type="page"/>
      </w:r>
    </w:p>
    <w:p w14:paraId="00000016" w14:textId="35BC97ED" w:rsidR="008A5AA4" w:rsidRDefault="0000000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390" w:lineRule="auto"/>
        <w:rPr>
          <w:rFonts w:ascii="Times New Roman" w:eastAsia="Times New Roman" w:hAnsi="Times New Roman" w:cs="Times New Roman"/>
          <w:b/>
          <w:bCs/>
          <w:i/>
          <w:iCs/>
          <w:color w:val="0D0D0D"/>
          <w:sz w:val="24"/>
          <w:szCs w:val="24"/>
        </w:rPr>
      </w:pPr>
      <w:r>
        <w:rPr>
          <w:rFonts w:ascii="Times New Roman" w:eastAsia="Times New Roman" w:hAnsi="Times New Roman" w:cs="Times New Roman"/>
          <w:b/>
          <w:bCs/>
          <w:i/>
          <w:iCs/>
          <w:color w:val="0D0D0D"/>
          <w:sz w:val="24"/>
          <w:szCs w:val="24"/>
        </w:rPr>
        <w:lastRenderedPageBreak/>
        <w:t>References</w:t>
      </w:r>
    </w:p>
    <w:p w14:paraId="00000017"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ind w:left="1077" w:hanging="720"/>
        <w:jc w:val="both"/>
      </w:pPr>
      <w:proofErr w:type="spellStart"/>
      <w:r>
        <w:rPr>
          <w:rFonts w:ascii="Times New Roman" w:eastAsia="Times New Roman" w:hAnsi="Times New Roman" w:cs="Times New Roman"/>
          <w:color w:val="0D0D0D"/>
          <w:sz w:val="24"/>
          <w:szCs w:val="24"/>
        </w:rPr>
        <w:t>Anmarkrud</w:t>
      </w:r>
      <w:proofErr w:type="spellEnd"/>
      <w:r>
        <w:rPr>
          <w:rFonts w:ascii="Times New Roman" w:eastAsia="Times New Roman" w:hAnsi="Times New Roman" w:cs="Times New Roman"/>
          <w:color w:val="0D0D0D"/>
          <w:sz w:val="24"/>
          <w:szCs w:val="24"/>
        </w:rPr>
        <w:t xml:space="preserve">, O., Andresen, A., &amp; Bråten, I. (2019). Cognitive load and working memory in multimedia learning: Conceptual and measurement issues. </w:t>
      </w:r>
      <w:r>
        <w:rPr>
          <w:rFonts w:ascii="Times New Roman" w:eastAsia="Times New Roman" w:hAnsi="Times New Roman" w:cs="Times New Roman"/>
          <w:i/>
          <w:iCs/>
          <w:color w:val="0D0D0D"/>
          <w:sz w:val="24"/>
          <w:szCs w:val="24"/>
        </w:rPr>
        <w:t>Educational Psychologist, 54</w:t>
      </w:r>
      <w:r>
        <w:rPr>
          <w:rFonts w:ascii="Times New Roman" w:eastAsia="Times New Roman" w:hAnsi="Times New Roman" w:cs="Times New Roman"/>
          <w:color w:val="0D0D0D"/>
          <w:sz w:val="24"/>
          <w:szCs w:val="24"/>
        </w:rPr>
        <w:t xml:space="preserve">(2), 61-83. </w:t>
      </w:r>
      <w:hyperlink r:id="rId5">
        <w:r w:rsidR="008A5AA4">
          <w:rPr>
            <w:rFonts w:ascii="Times New Roman" w:eastAsia="Times New Roman" w:hAnsi="Times New Roman" w:cs="Times New Roman"/>
            <w:color w:val="0285FF"/>
            <w:sz w:val="24"/>
            <w:szCs w:val="24"/>
            <w:u w:val="single"/>
          </w:rPr>
          <w:t>https://doi.org/10.1080/00461520.2018.1554484</w:t>
        </w:r>
      </w:hyperlink>
    </w:p>
    <w:p w14:paraId="7E152E4C"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ind w:left="1077" w:hanging="720"/>
        <w:jc w:val="both"/>
        <w:rPr>
          <w:rFonts w:ascii="Times New Roman" w:eastAsia="Times New Roman" w:hAnsi="Times New Roman" w:cs="Times New Roman"/>
          <w:sz w:val="24"/>
          <w:szCs w:val="24"/>
        </w:rPr>
      </w:pPr>
    </w:p>
    <w:p w14:paraId="00000018"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Baddeley, A. D. (1992). Working memory. </w:t>
      </w:r>
      <w:r>
        <w:rPr>
          <w:rFonts w:ascii="Times New Roman" w:eastAsia="Times New Roman" w:hAnsi="Times New Roman" w:cs="Times New Roman"/>
          <w:i/>
          <w:iCs/>
          <w:color w:val="0D0D0D"/>
          <w:sz w:val="24"/>
          <w:szCs w:val="24"/>
        </w:rPr>
        <w:t>Science, 255</w:t>
      </w:r>
      <w:r>
        <w:rPr>
          <w:rFonts w:ascii="Times New Roman" w:eastAsia="Times New Roman" w:hAnsi="Times New Roman" w:cs="Times New Roman"/>
          <w:color w:val="0D0D0D"/>
          <w:sz w:val="24"/>
          <w:szCs w:val="24"/>
        </w:rPr>
        <w:t xml:space="preserve">(5044), 556-559. </w:t>
      </w:r>
      <w:hyperlink r:id="rId6">
        <w:r w:rsidR="008A5AA4">
          <w:rPr>
            <w:rFonts w:ascii="Times New Roman" w:eastAsia="Times New Roman" w:hAnsi="Times New Roman" w:cs="Times New Roman"/>
            <w:color w:val="0285FF"/>
            <w:sz w:val="24"/>
            <w:szCs w:val="24"/>
            <w:u w:val="single"/>
          </w:rPr>
          <w:t>https://doi.org/10.1126/science.1736359</w:t>
        </w:r>
      </w:hyperlink>
    </w:p>
    <w:p w14:paraId="13F459A0"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9"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Chen, O., Paas, F., &amp; </w:t>
      </w:r>
      <w:proofErr w:type="spellStart"/>
      <w:r>
        <w:rPr>
          <w:rFonts w:ascii="Times New Roman" w:eastAsia="Times New Roman" w:hAnsi="Times New Roman" w:cs="Times New Roman"/>
          <w:color w:val="0D0D0D"/>
          <w:sz w:val="24"/>
          <w:szCs w:val="24"/>
        </w:rPr>
        <w:t>Sweller</w:t>
      </w:r>
      <w:proofErr w:type="spellEnd"/>
      <w:r>
        <w:rPr>
          <w:rFonts w:ascii="Times New Roman" w:eastAsia="Times New Roman" w:hAnsi="Times New Roman" w:cs="Times New Roman"/>
          <w:color w:val="0D0D0D"/>
          <w:sz w:val="24"/>
          <w:szCs w:val="24"/>
        </w:rPr>
        <w:t xml:space="preserve">, J. (2023). A cognitive load theory approach to defining and measuring task complexity through element interactivity. </w:t>
      </w:r>
      <w:r>
        <w:rPr>
          <w:rFonts w:ascii="Times New Roman" w:eastAsia="Times New Roman" w:hAnsi="Times New Roman" w:cs="Times New Roman"/>
          <w:i/>
          <w:iCs/>
          <w:color w:val="0D0D0D"/>
          <w:sz w:val="24"/>
          <w:szCs w:val="24"/>
        </w:rPr>
        <w:t>Educational Psychology Review, 35</w:t>
      </w:r>
      <w:r>
        <w:rPr>
          <w:rFonts w:ascii="Times New Roman" w:eastAsia="Times New Roman" w:hAnsi="Times New Roman" w:cs="Times New Roman"/>
          <w:color w:val="0D0D0D"/>
          <w:sz w:val="24"/>
          <w:szCs w:val="24"/>
        </w:rPr>
        <w:t xml:space="preserve">(2), 63. </w:t>
      </w:r>
      <w:hyperlink r:id="rId7">
        <w:r w:rsidR="008A5AA4">
          <w:rPr>
            <w:rFonts w:ascii="Times New Roman" w:eastAsia="Times New Roman" w:hAnsi="Times New Roman" w:cs="Times New Roman"/>
            <w:color w:val="0285FF"/>
            <w:sz w:val="24"/>
            <w:szCs w:val="24"/>
            <w:u w:val="single"/>
          </w:rPr>
          <w:t>https://doi.org/10.1007/s10648-023-09782-w</w:t>
        </w:r>
      </w:hyperlink>
    </w:p>
    <w:p w14:paraId="1DBC0832"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A"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rPr>
        <w:t xml:space="preserve">Jakob, A. M. V., &amp; Gershman, S. J. (2023). Rate-distortion theory of neural coding and its implications for working memory. </w:t>
      </w:r>
      <w:proofErr w:type="spellStart"/>
      <w:r>
        <w:rPr>
          <w:rFonts w:ascii="Times New Roman" w:eastAsia="Times New Roman" w:hAnsi="Times New Roman" w:cs="Times New Roman"/>
          <w:i/>
          <w:iCs/>
          <w:color w:val="0D0D0D"/>
          <w:sz w:val="24"/>
          <w:szCs w:val="24"/>
        </w:rPr>
        <w:t>eLife</w:t>
      </w:r>
      <w:proofErr w:type="spellEnd"/>
      <w:r>
        <w:rPr>
          <w:rFonts w:ascii="Times New Roman" w:eastAsia="Times New Roman" w:hAnsi="Times New Roman" w:cs="Times New Roman"/>
          <w:i/>
          <w:iCs/>
          <w:color w:val="0D0D0D"/>
          <w:sz w:val="24"/>
          <w:szCs w:val="24"/>
        </w:rPr>
        <w:t>, 12</w:t>
      </w:r>
      <w:r>
        <w:rPr>
          <w:rFonts w:ascii="Times New Roman" w:eastAsia="Times New Roman" w:hAnsi="Times New Roman" w:cs="Times New Roman"/>
          <w:color w:val="0D0D0D"/>
          <w:sz w:val="24"/>
          <w:szCs w:val="24"/>
        </w:rPr>
        <w:t xml:space="preserve">, e79450. </w:t>
      </w:r>
      <w:hyperlink r:id="rId8">
        <w:r w:rsidR="008A5AA4">
          <w:rPr>
            <w:rFonts w:ascii="Times New Roman" w:eastAsia="Times New Roman" w:hAnsi="Times New Roman" w:cs="Times New Roman"/>
            <w:color w:val="0285FF"/>
            <w:sz w:val="24"/>
            <w:szCs w:val="24"/>
            <w:u w:val="single"/>
          </w:rPr>
          <w:t>https://doi.org/10.7554/eLife.79450</w:t>
        </w:r>
      </w:hyperlink>
    </w:p>
    <w:p w14:paraId="0000001B"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Kintsch, W. (1994). Text comprehension, memory, and learning. </w:t>
      </w:r>
      <w:r>
        <w:rPr>
          <w:rFonts w:ascii="Times New Roman" w:eastAsia="Times New Roman" w:hAnsi="Times New Roman" w:cs="Times New Roman"/>
          <w:i/>
          <w:iCs/>
          <w:color w:val="0D0D0D"/>
          <w:sz w:val="24"/>
          <w:szCs w:val="24"/>
        </w:rPr>
        <w:t>American Psychologist, 49</w:t>
      </w:r>
      <w:r>
        <w:rPr>
          <w:rFonts w:ascii="Times New Roman" w:eastAsia="Times New Roman" w:hAnsi="Times New Roman" w:cs="Times New Roman"/>
          <w:color w:val="0D0D0D"/>
          <w:sz w:val="24"/>
          <w:szCs w:val="24"/>
        </w:rPr>
        <w:t xml:space="preserve">(4), 294-303. </w:t>
      </w:r>
      <w:hyperlink r:id="rId9">
        <w:r w:rsidR="008A5AA4">
          <w:rPr>
            <w:rFonts w:ascii="Times New Roman" w:eastAsia="Times New Roman" w:hAnsi="Times New Roman" w:cs="Times New Roman"/>
            <w:color w:val="0285FF"/>
            <w:sz w:val="24"/>
            <w:szCs w:val="24"/>
            <w:u w:val="single"/>
          </w:rPr>
          <w:t>https://doi.org/10.1037/0003-066X.49.4.294</w:t>
        </w:r>
      </w:hyperlink>
    </w:p>
    <w:p w14:paraId="1856202F"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C"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Ma, W. J., Husain, M., &amp; Bays, P. M. (2014). Changing concepts of working memory. </w:t>
      </w:r>
      <w:r>
        <w:rPr>
          <w:rFonts w:ascii="Times New Roman" w:eastAsia="Times New Roman" w:hAnsi="Times New Roman" w:cs="Times New Roman"/>
          <w:i/>
          <w:iCs/>
          <w:color w:val="0D0D0D"/>
          <w:sz w:val="24"/>
          <w:szCs w:val="24"/>
        </w:rPr>
        <w:t>Nature Neuroscience, 17</w:t>
      </w:r>
      <w:r>
        <w:rPr>
          <w:rFonts w:ascii="Times New Roman" w:eastAsia="Times New Roman" w:hAnsi="Times New Roman" w:cs="Times New Roman"/>
          <w:color w:val="0D0D0D"/>
          <w:sz w:val="24"/>
          <w:szCs w:val="24"/>
        </w:rPr>
        <w:t xml:space="preserve">(3), 347-356. </w:t>
      </w:r>
      <w:hyperlink r:id="rId10">
        <w:r w:rsidR="008A5AA4">
          <w:rPr>
            <w:rFonts w:ascii="Times New Roman" w:eastAsia="Times New Roman" w:hAnsi="Times New Roman" w:cs="Times New Roman"/>
            <w:color w:val="0285FF"/>
            <w:sz w:val="24"/>
            <w:szCs w:val="24"/>
            <w:u w:val="single"/>
          </w:rPr>
          <w:t>https://doi.org/10.1038/nn.3655</w:t>
        </w:r>
      </w:hyperlink>
    </w:p>
    <w:p w14:paraId="751986D8"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D"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Nassar, M. R., Helmers, J. C., &amp; Frank, M. J. (2018). Chunking as a rational strategy for lossy data compression in visual working memory. </w:t>
      </w:r>
      <w:r>
        <w:rPr>
          <w:rFonts w:ascii="Times New Roman" w:eastAsia="Times New Roman" w:hAnsi="Times New Roman" w:cs="Times New Roman"/>
          <w:i/>
          <w:iCs/>
          <w:color w:val="0D0D0D"/>
          <w:sz w:val="24"/>
          <w:szCs w:val="24"/>
        </w:rPr>
        <w:t>Psychological Review, 125</w:t>
      </w:r>
      <w:r>
        <w:rPr>
          <w:rFonts w:ascii="Times New Roman" w:eastAsia="Times New Roman" w:hAnsi="Times New Roman" w:cs="Times New Roman"/>
          <w:color w:val="0D0D0D"/>
          <w:sz w:val="24"/>
          <w:szCs w:val="24"/>
        </w:rPr>
        <w:t xml:space="preserve">(4), 486-511. </w:t>
      </w:r>
      <w:hyperlink r:id="rId11">
        <w:r w:rsidR="008A5AA4">
          <w:rPr>
            <w:rFonts w:ascii="Times New Roman" w:eastAsia="Times New Roman" w:hAnsi="Times New Roman" w:cs="Times New Roman"/>
            <w:color w:val="0285FF"/>
            <w:sz w:val="24"/>
            <w:szCs w:val="24"/>
            <w:u w:val="single"/>
          </w:rPr>
          <w:t>https://doi.org/10.1037/rev0000101</w:t>
        </w:r>
      </w:hyperlink>
    </w:p>
    <w:p w14:paraId="76327AD2"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E"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Sawicka, A. (2008). Dynamics of cognitive load theory: A model-based approach. </w:t>
      </w:r>
      <w:r>
        <w:rPr>
          <w:rFonts w:ascii="Times New Roman" w:eastAsia="Times New Roman" w:hAnsi="Times New Roman" w:cs="Times New Roman"/>
          <w:i/>
          <w:iCs/>
          <w:color w:val="0D0D0D"/>
          <w:sz w:val="24"/>
          <w:szCs w:val="24"/>
        </w:rPr>
        <w:t>Computers in Human Behavior, 24</w:t>
      </w:r>
      <w:r>
        <w:rPr>
          <w:rFonts w:ascii="Times New Roman" w:eastAsia="Times New Roman" w:hAnsi="Times New Roman" w:cs="Times New Roman"/>
          <w:color w:val="0D0D0D"/>
          <w:sz w:val="24"/>
          <w:szCs w:val="24"/>
        </w:rPr>
        <w:t xml:space="preserve">(3), 1041-1066. </w:t>
      </w:r>
      <w:hyperlink r:id="rId12">
        <w:r w:rsidR="008A5AA4">
          <w:rPr>
            <w:rFonts w:ascii="Times New Roman" w:eastAsia="Times New Roman" w:hAnsi="Times New Roman" w:cs="Times New Roman"/>
            <w:color w:val="0285FF"/>
            <w:sz w:val="24"/>
            <w:szCs w:val="24"/>
            <w:u w:val="single"/>
          </w:rPr>
          <w:t>https://doi.org/10.1016/j.chb.2007.03.007</w:t>
        </w:r>
      </w:hyperlink>
    </w:p>
    <w:p w14:paraId="094B954F"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F"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proofErr w:type="spellStart"/>
      <w:r>
        <w:rPr>
          <w:rFonts w:ascii="Times New Roman" w:eastAsia="Times New Roman" w:hAnsi="Times New Roman" w:cs="Times New Roman"/>
          <w:color w:val="0D0D0D"/>
          <w:sz w:val="24"/>
          <w:szCs w:val="24"/>
        </w:rPr>
        <w:t>Sweller</w:t>
      </w:r>
      <w:proofErr w:type="spellEnd"/>
      <w:r>
        <w:rPr>
          <w:rFonts w:ascii="Times New Roman" w:eastAsia="Times New Roman" w:hAnsi="Times New Roman" w:cs="Times New Roman"/>
          <w:color w:val="0D0D0D"/>
          <w:sz w:val="24"/>
          <w:szCs w:val="24"/>
        </w:rPr>
        <w:t xml:space="preserve">, J. (1988). Cognitive load during problem solving: Effects on learning. </w:t>
      </w:r>
      <w:r>
        <w:rPr>
          <w:rFonts w:ascii="Times New Roman" w:eastAsia="Times New Roman" w:hAnsi="Times New Roman" w:cs="Times New Roman"/>
          <w:i/>
          <w:iCs/>
          <w:color w:val="0D0D0D"/>
          <w:sz w:val="24"/>
          <w:szCs w:val="24"/>
        </w:rPr>
        <w:t>Cognitive Science, 12</w:t>
      </w:r>
      <w:r>
        <w:rPr>
          <w:rFonts w:ascii="Times New Roman" w:eastAsia="Times New Roman" w:hAnsi="Times New Roman" w:cs="Times New Roman"/>
          <w:color w:val="0D0D0D"/>
          <w:sz w:val="24"/>
          <w:szCs w:val="24"/>
        </w:rPr>
        <w:t xml:space="preserve">(2), 257-285. </w:t>
      </w:r>
      <w:hyperlink r:id="rId13">
        <w:r w:rsidR="008A5AA4">
          <w:rPr>
            <w:rFonts w:ascii="Times New Roman" w:eastAsia="Times New Roman" w:hAnsi="Times New Roman" w:cs="Times New Roman"/>
            <w:color w:val="0285FF"/>
            <w:sz w:val="24"/>
            <w:szCs w:val="24"/>
            <w:u w:val="single"/>
          </w:rPr>
          <w:t>https://doi.org/10.1016/0364-0213(88)90023-7</w:t>
        </w:r>
      </w:hyperlink>
    </w:p>
    <w:p w14:paraId="2C6C0E48"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20"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proofErr w:type="spellStart"/>
      <w:r>
        <w:rPr>
          <w:rFonts w:ascii="Times New Roman" w:eastAsia="Times New Roman" w:hAnsi="Times New Roman" w:cs="Times New Roman"/>
          <w:color w:val="0D0D0D"/>
          <w:sz w:val="24"/>
          <w:szCs w:val="24"/>
        </w:rPr>
        <w:t>Sweller</w:t>
      </w:r>
      <w:proofErr w:type="spellEnd"/>
      <w:r>
        <w:rPr>
          <w:rFonts w:ascii="Times New Roman" w:eastAsia="Times New Roman" w:hAnsi="Times New Roman" w:cs="Times New Roman"/>
          <w:color w:val="0D0D0D"/>
          <w:sz w:val="24"/>
          <w:szCs w:val="24"/>
        </w:rPr>
        <w:t xml:space="preserve">, J. (2010). Element interactivity and intrinsic, extraneous, and germane cognitive load. </w:t>
      </w:r>
      <w:r>
        <w:rPr>
          <w:rFonts w:ascii="Times New Roman" w:eastAsia="Times New Roman" w:hAnsi="Times New Roman" w:cs="Times New Roman"/>
          <w:i/>
          <w:iCs/>
          <w:color w:val="0D0D0D"/>
          <w:sz w:val="24"/>
          <w:szCs w:val="24"/>
        </w:rPr>
        <w:t>Educational Psychology Review, 22</w:t>
      </w:r>
      <w:r>
        <w:rPr>
          <w:rFonts w:ascii="Times New Roman" w:eastAsia="Times New Roman" w:hAnsi="Times New Roman" w:cs="Times New Roman"/>
          <w:color w:val="0D0D0D"/>
          <w:sz w:val="24"/>
          <w:szCs w:val="24"/>
        </w:rPr>
        <w:t xml:space="preserve">(2), 123-138. </w:t>
      </w:r>
      <w:hyperlink r:id="rId14">
        <w:r w:rsidR="008A5AA4">
          <w:rPr>
            <w:rFonts w:ascii="Times New Roman" w:eastAsia="Times New Roman" w:hAnsi="Times New Roman" w:cs="Times New Roman"/>
            <w:color w:val="0285FF"/>
            <w:sz w:val="24"/>
            <w:szCs w:val="24"/>
            <w:u w:val="single"/>
          </w:rPr>
          <w:t>https://doi.org/10.1007/s10648-010-9128-5</w:t>
        </w:r>
      </w:hyperlink>
    </w:p>
    <w:p w14:paraId="5EB56DC8"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21"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proofErr w:type="spellStart"/>
      <w:r>
        <w:rPr>
          <w:rFonts w:ascii="Times New Roman" w:eastAsia="Times New Roman" w:hAnsi="Times New Roman" w:cs="Times New Roman"/>
          <w:color w:val="0D0D0D"/>
          <w:sz w:val="24"/>
          <w:szCs w:val="24"/>
        </w:rPr>
        <w:t>Sweller</w:t>
      </w:r>
      <w:proofErr w:type="spellEnd"/>
      <w:r>
        <w:rPr>
          <w:rFonts w:ascii="Times New Roman" w:eastAsia="Times New Roman" w:hAnsi="Times New Roman" w:cs="Times New Roman"/>
          <w:color w:val="0D0D0D"/>
          <w:sz w:val="24"/>
          <w:szCs w:val="24"/>
        </w:rPr>
        <w:t xml:space="preserve">, J., van </w:t>
      </w:r>
      <w:proofErr w:type="spellStart"/>
      <w:r>
        <w:rPr>
          <w:rFonts w:ascii="Times New Roman" w:eastAsia="Times New Roman" w:hAnsi="Times New Roman" w:cs="Times New Roman"/>
          <w:color w:val="0D0D0D"/>
          <w:sz w:val="24"/>
          <w:szCs w:val="24"/>
        </w:rPr>
        <w:t>Merriënboer</w:t>
      </w:r>
      <w:proofErr w:type="spellEnd"/>
      <w:r>
        <w:rPr>
          <w:rFonts w:ascii="Times New Roman" w:eastAsia="Times New Roman" w:hAnsi="Times New Roman" w:cs="Times New Roman"/>
          <w:color w:val="0D0D0D"/>
          <w:sz w:val="24"/>
          <w:szCs w:val="24"/>
        </w:rPr>
        <w:t xml:space="preserve">, J. J. G., &amp; Paas, F. (2019). Cognitive architecture and instructional design: 20 years later. </w:t>
      </w:r>
      <w:r>
        <w:rPr>
          <w:rFonts w:ascii="Times New Roman" w:eastAsia="Times New Roman" w:hAnsi="Times New Roman" w:cs="Times New Roman"/>
          <w:i/>
          <w:iCs/>
          <w:color w:val="0D0D0D"/>
          <w:sz w:val="24"/>
          <w:szCs w:val="24"/>
        </w:rPr>
        <w:t>Educational Psychology Review, 31</w:t>
      </w:r>
      <w:r>
        <w:rPr>
          <w:rFonts w:ascii="Times New Roman" w:eastAsia="Times New Roman" w:hAnsi="Times New Roman" w:cs="Times New Roman"/>
          <w:color w:val="0D0D0D"/>
          <w:sz w:val="24"/>
          <w:szCs w:val="24"/>
        </w:rPr>
        <w:t xml:space="preserve">(2), 261-292. </w:t>
      </w:r>
      <w:hyperlink r:id="rId15">
        <w:r w:rsidR="008A5AA4">
          <w:rPr>
            <w:rFonts w:ascii="Times New Roman" w:eastAsia="Times New Roman" w:hAnsi="Times New Roman" w:cs="Times New Roman"/>
            <w:color w:val="0285FF"/>
            <w:sz w:val="24"/>
            <w:szCs w:val="24"/>
            <w:u w:val="single"/>
          </w:rPr>
          <w:t>https://doi.org/10.1007/s10648-019-09465-5</w:t>
        </w:r>
      </w:hyperlink>
    </w:p>
    <w:p w14:paraId="77F63F96"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22"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240" w:lineRule="auto"/>
        <w:ind w:left="1077" w:hanging="720"/>
        <w:jc w:val="both"/>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rPr>
        <w:t xml:space="preserve">van den Berg, R., &amp; Ma, W. J. (2018). A resource-rational theory of set size effects in human visual working memory. </w:t>
      </w:r>
      <w:proofErr w:type="spellStart"/>
      <w:r>
        <w:rPr>
          <w:rFonts w:ascii="Times New Roman" w:eastAsia="Times New Roman" w:hAnsi="Times New Roman" w:cs="Times New Roman"/>
          <w:i/>
          <w:iCs/>
          <w:color w:val="0D0D0D"/>
          <w:sz w:val="24"/>
          <w:szCs w:val="24"/>
        </w:rPr>
        <w:t>eLife</w:t>
      </w:r>
      <w:proofErr w:type="spellEnd"/>
      <w:r>
        <w:rPr>
          <w:rFonts w:ascii="Times New Roman" w:eastAsia="Times New Roman" w:hAnsi="Times New Roman" w:cs="Times New Roman"/>
          <w:i/>
          <w:iCs/>
          <w:color w:val="0D0D0D"/>
          <w:sz w:val="24"/>
          <w:szCs w:val="24"/>
        </w:rPr>
        <w:t>, 7</w:t>
      </w:r>
      <w:r>
        <w:rPr>
          <w:rFonts w:ascii="Times New Roman" w:eastAsia="Times New Roman" w:hAnsi="Times New Roman" w:cs="Times New Roman"/>
          <w:color w:val="0D0D0D"/>
          <w:sz w:val="24"/>
          <w:szCs w:val="24"/>
        </w:rPr>
        <w:t xml:space="preserve">, e34963. </w:t>
      </w:r>
      <w:hyperlink r:id="rId16">
        <w:r w:rsidR="008A5AA4">
          <w:rPr>
            <w:rFonts w:ascii="Times New Roman" w:eastAsia="Times New Roman" w:hAnsi="Times New Roman" w:cs="Times New Roman"/>
            <w:color w:val="0285FF"/>
            <w:sz w:val="24"/>
            <w:szCs w:val="24"/>
            <w:u w:val="single"/>
          </w:rPr>
          <w:t>https://doi.org/10.7554/eLife.34963</w:t>
        </w:r>
      </w:hyperlink>
    </w:p>
    <w:sectPr w:rsidR="008A5AA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66C16A9-4B50-AA49-8ABD-7E45C07FB604}"/>
    <w:embedBold r:id="rId2" w:fontKey="{16B48541-6195-3E48-9498-C5BAEB953E43}"/>
    <w:embedItalic r:id="rId3" w:fontKey="{9D02E969-6409-B14E-AD13-B3EDAD89D770}"/>
    <w:embedBoldItalic r:id="rId4" w:fontKey="{E7762116-391C-9140-9DA5-134F87D16BF5}"/>
  </w:font>
  <w:font w:name="Arial">
    <w:panose1 w:val="020B0604020202020204"/>
    <w:charset w:val="00"/>
    <w:family w:val="swiss"/>
    <w:pitch w:val="variable"/>
    <w:sig w:usb0="E0002AFF" w:usb1="C0007843" w:usb2="00000009" w:usb3="00000000" w:csb0="000001FF" w:csb1="00000000"/>
    <w:embedRegular r:id="rId5" w:fontKey="{866EA4B4-8B88-814A-8D7C-0C57F9452D3B}"/>
    <w:embedItalic r:id="rId6" w:fontKey="{29F6C78D-D666-024E-B0E9-3C5D3CDF062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927680C2-1717-BA4D-9AFB-4C1CA215D695}"/>
  </w:font>
  <w:font w:name="Cambria">
    <w:panose1 w:val="02040503050406030204"/>
    <w:charset w:val="00"/>
    <w:family w:val="roman"/>
    <w:pitch w:val="variable"/>
    <w:sig w:usb0="E00006FF" w:usb1="420024FF" w:usb2="02000000" w:usb3="00000000" w:csb0="0000019F" w:csb1="00000000"/>
    <w:embedRegular r:id="rId8" w:fontKey="{45F426F4-B10A-F748-AB03-5623F46BC4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A0D47"/>
    <w:multiLevelType w:val="multilevel"/>
    <w:tmpl w:val="07165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027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AA4"/>
    <w:rsid w:val="008A5AA4"/>
    <w:rsid w:val="00993DC4"/>
    <w:rsid w:val="00CF56C5"/>
    <w:rsid w:val="00D87E2E"/>
    <w:rsid w:val="00F034D3"/>
    <w:rsid w:val="00F45F0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F38554"/>
  <w15:docId w15:val="{B36A5DDF-C0B6-5A4B-A03E-B17B8DE5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7554/eLife.79450" TargetMode="External"/><Relationship Id="rId13" Type="http://schemas.openxmlformats.org/officeDocument/2006/relationships/hyperlink" Target="https://doi.org/10.1016/0364-0213(88)90023-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7/s10648-023-09782-w" TargetMode="External"/><Relationship Id="rId12" Type="http://schemas.openxmlformats.org/officeDocument/2006/relationships/hyperlink" Target="https://doi.org/10.1016/j.chb.2007.03.00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7554/eLife.34963" TargetMode="External"/><Relationship Id="rId1" Type="http://schemas.openxmlformats.org/officeDocument/2006/relationships/numbering" Target="numbering.xml"/><Relationship Id="rId6" Type="http://schemas.openxmlformats.org/officeDocument/2006/relationships/hyperlink" Target="https://doi.org/10.1126/science.1736359" TargetMode="External"/><Relationship Id="rId11" Type="http://schemas.openxmlformats.org/officeDocument/2006/relationships/hyperlink" Target="https://doi.org/10.1037/rev0000101" TargetMode="External"/><Relationship Id="rId5" Type="http://schemas.openxmlformats.org/officeDocument/2006/relationships/hyperlink" Target="https://doi.org/10.1080/00461520.2018.1554484" TargetMode="External"/><Relationship Id="rId15" Type="http://schemas.openxmlformats.org/officeDocument/2006/relationships/hyperlink" Target="https://doi.org/10.1007/s10648-019-09465-5" TargetMode="External"/><Relationship Id="rId10" Type="http://schemas.openxmlformats.org/officeDocument/2006/relationships/hyperlink" Target="https://doi.org/10.1038/nn.3655" TargetMode="External"/><Relationship Id="rId4" Type="http://schemas.openxmlformats.org/officeDocument/2006/relationships/webSettings" Target="webSettings.xml"/><Relationship Id="rId9" Type="http://schemas.openxmlformats.org/officeDocument/2006/relationships/hyperlink" Target="https://doi.org/10.1037/0003-066X.49.4.294" TargetMode="External"/><Relationship Id="rId14" Type="http://schemas.openxmlformats.org/officeDocument/2006/relationships/hyperlink" Target="https://doi.org/10.1007/s10648-010-9128-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1838</Words>
  <Characters>11162</Characters>
  <Application>Microsoft Office Word</Application>
  <DocSecurity>0</DocSecurity>
  <Lines>171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Yifan YANG</cp:lastModifiedBy>
  <cp:revision>4</cp:revision>
  <dcterms:created xsi:type="dcterms:W3CDTF">2026-03-15T18:04:00Z</dcterms:created>
  <dcterms:modified xsi:type="dcterms:W3CDTF">2026-03-15T20:52:00Z</dcterms:modified>
</cp:coreProperties>
</file>