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D06" w:rsidRPr="00E05945" w:rsidRDefault="00E05945">
      <w:pPr>
        <w:rPr>
          <w:lang w:val="de-DE"/>
        </w:rPr>
      </w:pPr>
      <w:r w:rsidRPr="00E05945">
        <w:rPr>
          <w:lang w:val="de-DE"/>
        </w:rPr>
        <w:t>Analysen:</w:t>
      </w:r>
    </w:p>
    <w:p w:rsidR="00E05945" w:rsidRPr="00E05945" w:rsidRDefault="00E05945">
      <w:pPr>
        <w:rPr>
          <w:lang w:val="de-DE"/>
        </w:rPr>
      </w:pPr>
      <w:r w:rsidRPr="00E05945">
        <w:rPr>
          <w:lang w:val="de-DE"/>
        </w:rPr>
        <w:t>Thema Autoabholung</w:t>
      </w:r>
    </w:p>
    <w:p w:rsidR="00E05945" w:rsidRPr="00E05945" w:rsidRDefault="00E05945">
      <w:pPr>
        <w:rPr>
          <w:lang w:val="de-DE"/>
        </w:rPr>
      </w:pPr>
    </w:p>
    <w:p w:rsidR="00E05945" w:rsidRDefault="00E05945">
      <w:pPr>
        <w:rPr>
          <w:lang w:val="de-DE"/>
        </w:rPr>
      </w:pPr>
      <w:r>
        <w:rPr>
          <w:lang w:val="de-DE"/>
        </w:rPr>
        <w:t xml:space="preserve">Frage: Warum ist das Thema Autoabholung so schlecht? </w:t>
      </w:r>
      <w:r>
        <w:rPr>
          <w:lang w:val="de-DE"/>
        </w:rPr>
        <w:br/>
        <w:t>Was ist daran so schlecht? -&gt; LDA</w:t>
      </w:r>
    </w:p>
    <w:p w:rsidR="00E05945" w:rsidRDefault="00E05945">
      <w:pPr>
        <w:rPr>
          <w:lang w:val="de-DE"/>
        </w:rPr>
      </w:pPr>
    </w:p>
    <w:p w:rsidR="00E05945" w:rsidRDefault="00E05945">
      <w:pPr>
        <w:rPr>
          <w:lang w:val="de-DE"/>
        </w:rPr>
      </w:pPr>
      <w:r>
        <w:rPr>
          <w:lang w:val="de-DE"/>
        </w:rPr>
        <w:t xml:space="preserve">Bei welchen Händlern ist das Rating besonders schlecht? </w:t>
      </w:r>
    </w:p>
    <w:p w:rsidR="00E05945" w:rsidRDefault="00E05945">
      <w:pPr>
        <w:rPr>
          <w:lang w:val="de-DE"/>
        </w:rPr>
      </w:pPr>
    </w:p>
    <w:p w:rsidR="00E05945" w:rsidRDefault="00E05945" w:rsidP="00E059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Besonders schlecht in Illinois -&gt; Lou Bachrodt Chevrolet Co. -&gt; Rating = 1,67, aber hier werden auch nur 133 </w:t>
      </w:r>
      <w:proofErr w:type="spellStart"/>
      <w:r>
        <w:rPr>
          <w:lang w:val="de-DE"/>
        </w:rPr>
        <w:t>feedbacks</w:t>
      </w:r>
      <w:proofErr w:type="spellEnd"/>
      <w:r>
        <w:rPr>
          <w:lang w:val="de-DE"/>
        </w:rPr>
        <w:t xml:space="preserve"> zugeordnet</w:t>
      </w:r>
    </w:p>
    <w:p w:rsidR="00E05945" w:rsidRDefault="00E05945" w:rsidP="00E05945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Besonders schlechter Händler: BMW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Buena</w:t>
      </w:r>
      <w:proofErr w:type="spellEnd"/>
      <w:r>
        <w:rPr>
          <w:lang w:val="de-DE"/>
        </w:rPr>
        <w:t xml:space="preserve"> Park in Kalifornien mit Rating von 2,10</w:t>
      </w:r>
    </w:p>
    <w:p w:rsidR="00E05945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Kunden müssen selber immer wieder nachfragen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Händler meldet sich nicht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Unorganisiert -&gt; kein Leihwagen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Es wurden nicht alle </w:t>
      </w:r>
      <w:proofErr w:type="spellStart"/>
      <w:r>
        <w:rPr>
          <w:lang w:val="de-DE"/>
        </w:rPr>
        <w:t>funktionen</w:t>
      </w:r>
      <w:proofErr w:type="spellEnd"/>
      <w:r>
        <w:rPr>
          <w:lang w:val="de-DE"/>
        </w:rPr>
        <w:t xml:space="preserve"> vorher optimal gecheckt -&gt; Kunde muss </w:t>
      </w:r>
      <w:proofErr w:type="gramStart"/>
      <w:r>
        <w:rPr>
          <w:lang w:val="de-DE"/>
        </w:rPr>
        <w:t>zurück kommen</w:t>
      </w:r>
      <w:proofErr w:type="gramEnd"/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Funktionen wurden nicht erklärt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Es wurde nicht alles repariert was kaputt war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Service Leute kennen sich nicht mit allem am Auto aus -&gt; z.B. nicht mit </w:t>
      </w:r>
      <w:proofErr w:type="spellStart"/>
      <w:r>
        <w:rPr>
          <w:lang w:val="de-DE"/>
        </w:rPr>
        <w:t>navigationssystem</w:t>
      </w:r>
      <w:proofErr w:type="spellEnd"/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Sehr voll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CEO muss immer persönlich kommen, um den Autokauf zu unterschreiben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Service Kräfte zwängen Kunden etwas auf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Teile sind nicht verfügbar</w:t>
      </w:r>
    </w:p>
    <w:p w:rsidR="009F6030" w:rsidRDefault="009F6030" w:rsidP="00E0594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Zu teuer</w:t>
      </w:r>
    </w:p>
    <w:p w:rsidR="009F6030" w:rsidRDefault="009F6030" w:rsidP="009F6030">
      <w:pPr>
        <w:rPr>
          <w:lang w:val="de-DE"/>
        </w:rPr>
      </w:pPr>
    </w:p>
    <w:p w:rsidR="009F6030" w:rsidRDefault="009F6030" w:rsidP="009F6030">
      <w:pPr>
        <w:rPr>
          <w:lang w:val="de-DE"/>
        </w:rPr>
      </w:pPr>
    </w:p>
    <w:p w:rsidR="009F6030" w:rsidRDefault="009F6030" w:rsidP="009F6030">
      <w:pPr>
        <w:rPr>
          <w:lang w:val="de-DE"/>
        </w:rPr>
      </w:pPr>
      <w:r>
        <w:rPr>
          <w:lang w:val="de-DE"/>
        </w:rPr>
        <w:t>Analyse Allgemein: 36.350 Daten</w:t>
      </w:r>
    </w:p>
    <w:p w:rsidR="009F6030" w:rsidRDefault="009F6030" w:rsidP="009F6030">
      <w:pPr>
        <w:rPr>
          <w:lang w:val="de-DE"/>
        </w:rPr>
      </w:pPr>
      <w:r>
        <w:rPr>
          <w:lang w:val="de-DE"/>
        </w:rPr>
        <w:t>1.Ort</w:t>
      </w:r>
    </w:p>
    <w:p w:rsidR="009F6030" w:rsidRDefault="003C52B5" w:rsidP="009F6030">
      <w:pPr>
        <w:rPr>
          <w:lang w:val="de-DE"/>
        </w:rPr>
      </w:pPr>
      <w:r>
        <w:rPr>
          <w:noProof/>
        </w:rPr>
        <w:drawing>
          <wp:inline distT="0" distB="0" distL="0" distR="0" wp14:anchorId="532234D4" wp14:editId="38F1E725">
            <wp:extent cx="5756910" cy="2303780"/>
            <wp:effectExtent l="0" t="0" r="8890" b="762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F7EC734F-8CF4-B04B-97D2-05CB2AA9CF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C52B5" w:rsidRDefault="003C52B5" w:rsidP="009F6030">
      <w:pPr>
        <w:rPr>
          <w:lang w:val="de-DE"/>
        </w:rPr>
      </w:pPr>
    </w:p>
    <w:p w:rsidR="003C52B5" w:rsidRDefault="003C52B5" w:rsidP="003C52B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Feedbacks beziehen sich im Großteil auf Kalifornien</w:t>
      </w:r>
    </w:p>
    <w:p w:rsidR="003C52B5" w:rsidRDefault="003C52B5" w:rsidP="003C52B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Rating ist am besten in Washington &amp; Colorado </w:t>
      </w:r>
    </w:p>
    <w:p w:rsidR="003C52B5" w:rsidRDefault="003C52B5" w:rsidP="003C52B5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Am schlechtesten in New Mexiko</w:t>
      </w:r>
    </w:p>
    <w:p w:rsidR="003C52B5" w:rsidRDefault="003C52B5" w:rsidP="003C52B5">
      <w:pPr>
        <w:rPr>
          <w:lang w:val="de-DE"/>
        </w:rPr>
      </w:pPr>
    </w:p>
    <w:p w:rsidR="003C52B5" w:rsidRDefault="003C52B5" w:rsidP="003C52B5">
      <w:pPr>
        <w:rPr>
          <w:lang w:val="de-DE"/>
        </w:rPr>
      </w:pPr>
      <w:r>
        <w:rPr>
          <w:lang w:val="de-DE"/>
        </w:rPr>
        <w:t>2.Zeit -&gt; kann nicht beurteilt werden, da zu wenig Feedbacks zu 2020</w:t>
      </w:r>
    </w:p>
    <w:p w:rsidR="003C52B5" w:rsidRDefault="003C52B5" w:rsidP="003C52B5">
      <w:pPr>
        <w:rPr>
          <w:lang w:val="de-DE"/>
        </w:rPr>
      </w:pPr>
      <w:r>
        <w:rPr>
          <w:lang w:val="de-DE"/>
        </w:rPr>
        <w:t>-&gt; aber dafür Analyse von 2019 alleine und dann in Mischung mit 2020</w:t>
      </w:r>
    </w:p>
    <w:p w:rsidR="003C52B5" w:rsidRDefault="003C52B5" w:rsidP="003C52B5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1D97026C" wp14:editId="43CECBC9">
            <wp:extent cx="6310364" cy="3173095"/>
            <wp:effectExtent l="0" t="0" r="14605" b="14605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537B1E04-6AF1-784F-B70D-12E62F78DF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4461DB" w:rsidP="003C52B5">
      <w:pPr>
        <w:rPr>
          <w:lang w:val="de-DE"/>
        </w:rPr>
      </w:pPr>
      <w:r>
        <w:rPr>
          <w:noProof/>
        </w:rPr>
        <w:drawing>
          <wp:inline distT="0" distB="0" distL="0" distR="0" wp14:anchorId="39804882" wp14:editId="2145CFC3">
            <wp:extent cx="5756910" cy="2311400"/>
            <wp:effectExtent l="0" t="0" r="8890" b="12700"/>
            <wp:docPr id="8" name="Diagramm 8">
              <a:extLst xmlns:a="http://schemas.openxmlformats.org/drawingml/2006/main">
                <a:ext uri="{FF2B5EF4-FFF2-40B4-BE49-F238E27FC236}">
                  <a16:creationId xmlns:a16="http://schemas.microsoft.com/office/drawing/2014/main" id="{354F57C2-0CEC-2B41-84BA-1177311FC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883689" w:rsidRDefault="00883689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  <w:r>
        <w:rPr>
          <w:lang w:val="de-DE"/>
        </w:rPr>
        <w:lastRenderedPageBreak/>
        <w:t>Analyse Thema Abholung:</w:t>
      </w:r>
    </w:p>
    <w:p w:rsidR="005543D4" w:rsidRDefault="005543D4" w:rsidP="003C52B5">
      <w:pPr>
        <w:rPr>
          <w:lang w:val="de-DE"/>
        </w:rPr>
      </w:pPr>
    </w:p>
    <w:p w:rsidR="005543D4" w:rsidRDefault="005543D4" w:rsidP="003C52B5">
      <w:pPr>
        <w:rPr>
          <w:lang w:val="de-DE"/>
        </w:rPr>
      </w:pPr>
      <w:r>
        <w:rPr>
          <w:noProof/>
        </w:rPr>
        <w:drawing>
          <wp:inline distT="0" distB="0" distL="0" distR="0" wp14:anchorId="0EEDEFB7" wp14:editId="1316303D">
            <wp:extent cx="6521380" cy="2125980"/>
            <wp:effectExtent l="0" t="0" r="6985" b="7620"/>
            <wp:docPr id="7" name="Diagramm 7">
              <a:extLst xmlns:a="http://schemas.openxmlformats.org/drawingml/2006/main">
                <a:ext uri="{FF2B5EF4-FFF2-40B4-BE49-F238E27FC236}">
                  <a16:creationId xmlns:a16="http://schemas.microsoft.com/office/drawing/2014/main" id="{2D981717-6D04-9547-BA6F-AB745E270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B173E" w:rsidRDefault="004B173E" w:rsidP="003C52B5">
      <w:pPr>
        <w:rPr>
          <w:lang w:val="de-DE"/>
        </w:rPr>
      </w:pPr>
    </w:p>
    <w:p w:rsidR="004B173E" w:rsidRPr="003C52B5" w:rsidRDefault="004B173E" w:rsidP="003C52B5">
      <w:pPr>
        <w:rPr>
          <w:lang w:val="de-DE"/>
        </w:rPr>
      </w:pPr>
      <w:bookmarkStart w:id="0" w:name="_GoBack"/>
      <w:r>
        <w:rPr>
          <w:noProof/>
        </w:rPr>
        <w:drawing>
          <wp:inline distT="0" distB="0" distL="0" distR="0" wp14:anchorId="4EBDCD9F" wp14:editId="7E4B69A7">
            <wp:extent cx="6511332" cy="2415540"/>
            <wp:effectExtent l="0" t="0" r="16510" b="1016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85269741-2370-894E-97F8-A57D72FF13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sectPr w:rsidR="004B173E" w:rsidRPr="003C52B5" w:rsidSect="00872EC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252F4"/>
    <w:multiLevelType w:val="hybridMultilevel"/>
    <w:tmpl w:val="48241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D2B96"/>
    <w:multiLevelType w:val="hybridMultilevel"/>
    <w:tmpl w:val="AE78C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45"/>
    <w:rsid w:val="0015153A"/>
    <w:rsid w:val="003C52B5"/>
    <w:rsid w:val="00440C11"/>
    <w:rsid w:val="004461DB"/>
    <w:rsid w:val="004B173E"/>
    <w:rsid w:val="005543D4"/>
    <w:rsid w:val="00872EC1"/>
    <w:rsid w:val="00883689"/>
    <w:rsid w:val="009F6030"/>
    <w:rsid w:val="00E05945"/>
    <w:rsid w:val="00EF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4B668"/>
  <w14:defaultImageDpi w14:val="32767"/>
  <w15:chartTrackingRefBased/>
  <w15:docId w15:val="{091F25F5-3145-4D47-8E4D-3D60FA02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ranziskascharpf/Desktop/Finalcode/\join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Mappe3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ranziskascharpf/Desktop/Finalcode/Themenverteilung%20201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ranziskascharpf/Desktop/Finalcode/\findcit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ranziskascharpf/Desktop/Finalcode/\Overviewtopics_Abholung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Tabelle2!$B$1</c:f>
              <c:strCache>
                <c:ptCount val="1"/>
                <c:pt idx="0">
                  <c:v>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Tabelle2!$A$2:$A$45</c:f>
              <c:strCache>
                <c:ptCount val="44"/>
                <c:pt idx="0">
                  <c:v>California</c:v>
                </c:pt>
                <c:pt idx="1">
                  <c:v>Florida</c:v>
                </c:pt>
                <c:pt idx="2">
                  <c:v>Texas</c:v>
                </c:pt>
                <c:pt idx="3">
                  <c:v>Ohio</c:v>
                </c:pt>
                <c:pt idx="4">
                  <c:v>Georgia</c:v>
                </c:pt>
                <c:pt idx="5">
                  <c:v>New York</c:v>
                </c:pt>
                <c:pt idx="6">
                  <c:v>North Carolina</c:v>
                </c:pt>
                <c:pt idx="7">
                  <c:v>Illinois</c:v>
                </c:pt>
                <c:pt idx="8">
                  <c:v>Massachusetts</c:v>
                </c:pt>
                <c:pt idx="9">
                  <c:v>Maryland</c:v>
                </c:pt>
                <c:pt idx="10">
                  <c:v>New Hampshire</c:v>
                </c:pt>
                <c:pt idx="11">
                  <c:v>Arizona</c:v>
                </c:pt>
                <c:pt idx="12">
                  <c:v>Washington</c:v>
                </c:pt>
                <c:pt idx="13">
                  <c:v>Virginia</c:v>
                </c:pt>
                <c:pt idx="14">
                  <c:v>New Jersey</c:v>
                </c:pt>
                <c:pt idx="15">
                  <c:v>Pennsylvania</c:v>
                </c:pt>
                <c:pt idx="16">
                  <c:v>Michigan</c:v>
                </c:pt>
                <c:pt idx="17">
                  <c:v>Oregon</c:v>
                </c:pt>
                <c:pt idx="18">
                  <c:v>Tennessee</c:v>
                </c:pt>
                <c:pt idx="19">
                  <c:v>Alabama</c:v>
                </c:pt>
                <c:pt idx="20">
                  <c:v>South Carolina</c:v>
                </c:pt>
                <c:pt idx="21">
                  <c:v>Nevada</c:v>
                </c:pt>
                <c:pt idx="22">
                  <c:v>Indiana</c:v>
                </c:pt>
                <c:pt idx="23">
                  <c:v>Missouri</c:v>
                </c:pt>
                <c:pt idx="24">
                  <c:v>Mississippi</c:v>
                </c:pt>
                <c:pt idx="25">
                  <c:v>Louisiana</c:v>
                </c:pt>
                <c:pt idx="26">
                  <c:v>Arkansas</c:v>
                </c:pt>
                <c:pt idx="27">
                  <c:v>Minnesota</c:v>
                </c:pt>
                <c:pt idx="28">
                  <c:v>Maine</c:v>
                </c:pt>
                <c:pt idx="29">
                  <c:v>Kentucky</c:v>
                </c:pt>
                <c:pt idx="30">
                  <c:v>Wisconsin</c:v>
                </c:pt>
                <c:pt idx="31">
                  <c:v>Idaho</c:v>
                </c:pt>
                <c:pt idx="32">
                  <c:v>Connecticut</c:v>
                </c:pt>
                <c:pt idx="33">
                  <c:v>Utah</c:v>
                </c:pt>
                <c:pt idx="34">
                  <c:v>Colorado</c:v>
                </c:pt>
                <c:pt idx="35">
                  <c:v>New Mexico</c:v>
                </c:pt>
                <c:pt idx="36">
                  <c:v>Oklahoma</c:v>
                </c:pt>
                <c:pt idx="37">
                  <c:v>Iowa</c:v>
                </c:pt>
                <c:pt idx="38">
                  <c:v>West Virginia</c:v>
                </c:pt>
                <c:pt idx="39">
                  <c:v>Kansas</c:v>
                </c:pt>
                <c:pt idx="40">
                  <c:v>Nebraska</c:v>
                </c:pt>
                <c:pt idx="41">
                  <c:v>Delaware</c:v>
                </c:pt>
                <c:pt idx="42">
                  <c:v>South Dakota</c:v>
                </c:pt>
                <c:pt idx="43">
                  <c:v>Wyoming</c:v>
                </c:pt>
              </c:strCache>
            </c:strRef>
          </c:cat>
          <c:val>
            <c:numRef>
              <c:f>Tabelle2!$B$2:$B$45</c:f>
              <c:numCache>
                <c:formatCode>General</c:formatCode>
                <c:ptCount val="44"/>
                <c:pt idx="0">
                  <c:v>2954</c:v>
                </c:pt>
                <c:pt idx="1">
                  <c:v>2216</c:v>
                </c:pt>
                <c:pt idx="2">
                  <c:v>1970</c:v>
                </c:pt>
                <c:pt idx="3">
                  <c:v>1295</c:v>
                </c:pt>
                <c:pt idx="4">
                  <c:v>1126</c:v>
                </c:pt>
                <c:pt idx="5">
                  <c:v>1068</c:v>
                </c:pt>
                <c:pt idx="6">
                  <c:v>966</c:v>
                </c:pt>
                <c:pt idx="7">
                  <c:v>924</c:v>
                </c:pt>
                <c:pt idx="8">
                  <c:v>878</c:v>
                </c:pt>
                <c:pt idx="9">
                  <c:v>822</c:v>
                </c:pt>
                <c:pt idx="10">
                  <c:v>723</c:v>
                </c:pt>
                <c:pt idx="11">
                  <c:v>615</c:v>
                </c:pt>
                <c:pt idx="12">
                  <c:v>590</c:v>
                </c:pt>
                <c:pt idx="13">
                  <c:v>578</c:v>
                </c:pt>
                <c:pt idx="14">
                  <c:v>539</c:v>
                </c:pt>
                <c:pt idx="15">
                  <c:v>533</c:v>
                </c:pt>
                <c:pt idx="16">
                  <c:v>468</c:v>
                </c:pt>
                <c:pt idx="17">
                  <c:v>417</c:v>
                </c:pt>
                <c:pt idx="18">
                  <c:v>411</c:v>
                </c:pt>
                <c:pt idx="19">
                  <c:v>389</c:v>
                </c:pt>
                <c:pt idx="20">
                  <c:v>351</c:v>
                </c:pt>
                <c:pt idx="21">
                  <c:v>320</c:v>
                </c:pt>
                <c:pt idx="22">
                  <c:v>317</c:v>
                </c:pt>
                <c:pt idx="23">
                  <c:v>304</c:v>
                </c:pt>
                <c:pt idx="24">
                  <c:v>262</c:v>
                </c:pt>
                <c:pt idx="25">
                  <c:v>258</c:v>
                </c:pt>
                <c:pt idx="26">
                  <c:v>240</c:v>
                </c:pt>
                <c:pt idx="27">
                  <c:v>237</c:v>
                </c:pt>
                <c:pt idx="28">
                  <c:v>180</c:v>
                </c:pt>
                <c:pt idx="29">
                  <c:v>171</c:v>
                </c:pt>
                <c:pt idx="30">
                  <c:v>157</c:v>
                </c:pt>
                <c:pt idx="31">
                  <c:v>146</c:v>
                </c:pt>
                <c:pt idx="32">
                  <c:v>145</c:v>
                </c:pt>
                <c:pt idx="33">
                  <c:v>137</c:v>
                </c:pt>
                <c:pt idx="34">
                  <c:v>136</c:v>
                </c:pt>
                <c:pt idx="35">
                  <c:v>114</c:v>
                </c:pt>
                <c:pt idx="36">
                  <c:v>109</c:v>
                </c:pt>
                <c:pt idx="37">
                  <c:v>98</c:v>
                </c:pt>
                <c:pt idx="38">
                  <c:v>82</c:v>
                </c:pt>
                <c:pt idx="39">
                  <c:v>64</c:v>
                </c:pt>
                <c:pt idx="40">
                  <c:v>54</c:v>
                </c:pt>
                <c:pt idx="41">
                  <c:v>36</c:v>
                </c:pt>
                <c:pt idx="42">
                  <c:v>12</c:v>
                </c:pt>
                <c:pt idx="4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44-024A-81FB-68B770E43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6945519"/>
        <c:axId val="2099605807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val>
            <c:numRef>
              <c:f>Tabelle2!$C$2:$C$45</c:f>
              <c:numCache>
                <c:formatCode>0.00</c:formatCode>
                <c:ptCount val="44"/>
                <c:pt idx="0">
                  <c:v>3.519280205655527</c:v>
                </c:pt>
                <c:pt idx="1">
                  <c:v>4.0081300813008127</c:v>
                </c:pt>
                <c:pt idx="2">
                  <c:v>3.9541666666666666</c:v>
                </c:pt>
                <c:pt idx="3">
                  <c:v>3.4485443466486121</c:v>
                </c:pt>
                <c:pt idx="4">
                  <c:v>3.7058823529411766</c:v>
                </c:pt>
                <c:pt idx="5">
                  <c:v>4.4206896551724135</c:v>
                </c:pt>
                <c:pt idx="6">
                  <c:v>3.5</c:v>
                </c:pt>
                <c:pt idx="7">
                  <c:v>4.0153429602888089</c:v>
                </c:pt>
                <c:pt idx="8">
                  <c:v>4.24955595026643</c:v>
                </c:pt>
                <c:pt idx="9">
                  <c:v>4.2739726027397262</c:v>
                </c:pt>
                <c:pt idx="10">
                  <c:v>4.4101731601731604</c:v>
                </c:pt>
                <c:pt idx="11">
                  <c:v>3.9242902208201893</c:v>
                </c:pt>
                <c:pt idx="12">
                  <c:v>4.7346938775510203</c:v>
                </c:pt>
                <c:pt idx="13">
                  <c:v>4.109375</c:v>
                </c:pt>
                <c:pt idx="14">
                  <c:v>3.3859649122807016</c:v>
                </c:pt>
                <c:pt idx="15">
                  <c:v>3.7829457364341086</c:v>
                </c:pt>
                <c:pt idx="16">
                  <c:v>3.7777777777777777</c:v>
                </c:pt>
                <c:pt idx="17">
                  <c:v>4.0985401459854014</c:v>
                </c:pt>
                <c:pt idx="18">
                  <c:v>4.3849658314350801</c:v>
                </c:pt>
                <c:pt idx="19">
                  <c:v>4.1688034188034191</c:v>
                </c:pt>
                <c:pt idx="20">
                  <c:v>3.5780590717299576</c:v>
                </c:pt>
                <c:pt idx="21">
                  <c:v>4.2137404580152671</c:v>
                </c:pt>
                <c:pt idx="22">
                  <c:v>3.9210526315789473</c:v>
                </c:pt>
                <c:pt idx="23">
                  <c:v>4.2222222222222223</c:v>
                </c:pt>
                <c:pt idx="24">
                  <c:v>3.4437500000000001</c:v>
                </c:pt>
                <c:pt idx="25">
                  <c:v>4.385892116182573</c:v>
                </c:pt>
                <c:pt idx="26">
                  <c:v>4.0593692022263452</c:v>
                </c:pt>
                <c:pt idx="27">
                  <c:v>3.1842105263157894</c:v>
                </c:pt>
                <c:pt idx="28">
                  <c:v>3.4653558052434459</c:v>
                </c:pt>
                <c:pt idx="29">
                  <c:v>4.2432712215320914</c:v>
                </c:pt>
                <c:pt idx="30">
                  <c:v>4.1019305019305019</c:v>
                </c:pt>
                <c:pt idx="31">
                  <c:v>3.9541284403669725</c:v>
                </c:pt>
                <c:pt idx="32">
                  <c:v>4.1678657074340526</c:v>
                </c:pt>
                <c:pt idx="33">
                  <c:v>4.1181988742964348</c:v>
                </c:pt>
                <c:pt idx="34">
                  <c:v>4.5527065527065531</c:v>
                </c:pt>
                <c:pt idx="35">
                  <c:v>3</c:v>
                </c:pt>
                <c:pt idx="36">
                  <c:v>3.221411192214112</c:v>
                </c:pt>
                <c:pt idx="37">
                  <c:v>4.0411167512690351</c:v>
                </c:pt>
                <c:pt idx="38">
                  <c:v>4</c:v>
                </c:pt>
                <c:pt idx="39">
                  <c:v>3.546712802768166</c:v>
                </c:pt>
                <c:pt idx="40">
                  <c:v>3.5016949152542374</c:v>
                </c:pt>
                <c:pt idx="41">
                  <c:v>4.7073170731707314</c:v>
                </c:pt>
                <c:pt idx="42">
                  <c:v>3.2802547770700636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44-024A-81FB-68B770E43A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7334335"/>
        <c:axId val="1792243823"/>
      </c:lineChart>
      <c:catAx>
        <c:axId val="172694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99605807"/>
        <c:crosses val="autoZero"/>
        <c:auto val="1"/>
        <c:lblAlgn val="ctr"/>
        <c:lblOffset val="100"/>
        <c:noMultiLvlLbl val="0"/>
      </c:catAx>
      <c:valAx>
        <c:axId val="2099605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26945519"/>
        <c:crosses val="autoZero"/>
        <c:crossBetween val="between"/>
      </c:valAx>
      <c:valAx>
        <c:axId val="1792243823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17334335"/>
        <c:crosses val="max"/>
        <c:crossBetween val="between"/>
      </c:valAx>
      <c:catAx>
        <c:axId val="1817334335"/>
        <c:scaling>
          <c:orientation val="minMax"/>
        </c:scaling>
        <c:delete val="1"/>
        <c:axPos val="b"/>
        <c:majorTickMark val="out"/>
        <c:minorTickMark val="none"/>
        <c:tickLblPos val="nextTo"/>
        <c:crossAx val="179224382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dash"/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Ortsverteilung 2019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Ortsverteilung!$B$1</c:f>
              <c:strCache>
                <c:ptCount val="1"/>
                <c:pt idx="0">
                  <c:v>Anzahl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5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Ortsverteilung!$A$2:$A$45</c:f>
              <c:strCache>
                <c:ptCount val="44"/>
                <c:pt idx="0">
                  <c:v>California</c:v>
                </c:pt>
                <c:pt idx="1">
                  <c:v>Florida</c:v>
                </c:pt>
                <c:pt idx="2">
                  <c:v>Texas</c:v>
                </c:pt>
                <c:pt idx="3">
                  <c:v>Ohio</c:v>
                </c:pt>
                <c:pt idx="4">
                  <c:v>Georgia</c:v>
                </c:pt>
                <c:pt idx="5">
                  <c:v>New York</c:v>
                </c:pt>
                <c:pt idx="6">
                  <c:v>North Carolina</c:v>
                </c:pt>
                <c:pt idx="7">
                  <c:v>Illinois</c:v>
                </c:pt>
                <c:pt idx="8">
                  <c:v>Massachusetts</c:v>
                </c:pt>
                <c:pt idx="9">
                  <c:v>Maryland</c:v>
                </c:pt>
                <c:pt idx="10">
                  <c:v>New Hampshire</c:v>
                </c:pt>
                <c:pt idx="11">
                  <c:v>Arizona</c:v>
                </c:pt>
                <c:pt idx="12">
                  <c:v>Washington</c:v>
                </c:pt>
                <c:pt idx="13">
                  <c:v>Virginia</c:v>
                </c:pt>
                <c:pt idx="14">
                  <c:v>New Jersey</c:v>
                </c:pt>
                <c:pt idx="15">
                  <c:v>Pennsylvania</c:v>
                </c:pt>
                <c:pt idx="16">
                  <c:v>Michigan</c:v>
                </c:pt>
                <c:pt idx="17">
                  <c:v>Oregon</c:v>
                </c:pt>
                <c:pt idx="18">
                  <c:v>Tennessee</c:v>
                </c:pt>
                <c:pt idx="19">
                  <c:v>Alabama</c:v>
                </c:pt>
                <c:pt idx="20">
                  <c:v>South Carolina</c:v>
                </c:pt>
                <c:pt idx="21">
                  <c:v>Indiana</c:v>
                </c:pt>
                <c:pt idx="22">
                  <c:v>Missouri</c:v>
                </c:pt>
                <c:pt idx="23">
                  <c:v>Nevada</c:v>
                </c:pt>
                <c:pt idx="24">
                  <c:v>Louisiana</c:v>
                </c:pt>
                <c:pt idx="25">
                  <c:v>Mississippi</c:v>
                </c:pt>
                <c:pt idx="26">
                  <c:v>Minnesota</c:v>
                </c:pt>
                <c:pt idx="27">
                  <c:v>Arkansas</c:v>
                </c:pt>
                <c:pt idx="28">
                  <c:v>Maine</c:v>
                </c:pt>
                <c:pt idx="29">
                  <c:v>Kentucky</c:v>
                </c:pt>
                <c:pt idx="30">
                  <c:v>Connecticut</c:v>
                </c:pt>
                <c:pt idx="31">
                  <c:v>Wisconsin</c:v>
                </c:pt>
                <c:pt idx="32">
                  <c:v>Utah</c:v>
                </c:pt>
                <c:pt idx="33">
                  <c:v>Idaho</c:v>
                </c:pt>
                <c:pt idx="34">
                  <c:v>Colorado</c:v>
                </c:pt>
                <c:pt idx="35">
                  <c:v>New Mexico</c:v>
                </c:pt>
                <c:pt idx="36">
                  <c:v>Iowa</c:v>
                </c:pt>
                <c:pt idx="37">
                  <c:v>Oklahoma</c:v>
                </c:pt>
                <c:pt idx="38">
                  <c:v>West Virginia</c:v>
                </c:pt>
                <c:pt idx="39">
                  <c:v>Nebraska</c:v>
                </c:pt>
                <c:pt idx="40">
                  <c:v>Kansas</c:v>
                </c:pt>
                <c:pt idx="41">
                  <c:v>Delaware</c:v>
                </c:pt>
                <c:pt idx="42">
                  <c:v>South Dakota</c:v>
                </c:pt>
                <c:pt idx="43">
                  <c:v>Wyoming</c:v>
                </c:pt>
              </c:strCache>
            </c:strRef>
          </c:cat>
          <c:val>
            <c:numRef>
              <c:f>Ortsverteilung!$B$2:$B$45</c:f>
              <c:numCache>
                <c:formatCode>General</c:formatCode>
                <c:ptCount val="44"/>
                <c:pt idx="0">
                  <c:v>2708</c:v>
                </c:pt>
                <c:pt idx="1">
                  <c:v>1989</c:v>
                </c:pt>
                <c:pt idx="2">
                  <c:v>1883</c:v>
                </c:pt>
                <c:pt idx="3">
                  <c:v>1212</c:v>
                </c:pt>
                <c:pt idx="4">
                  <c:v>1095</c:v>
                </c:pt>
                <c:pt idx="5">
                  <c:v>991</c:v>
                </c:pt>
                <c:pt idx="6">
                  <c:v>906</c:v>
                </c:pt>
                <c:pt idx="7">
                  <c:v>820</c:v>
                </c:pt>
                <c:pt idx="8">
                  <c:v>797</c:v>
                </c:pt>
                <c:pt idx="9">
                  <c:v>725</c:v>
                </c:pt>
                <c:pt idx="10">
                  <c:v>681</c:v>
                </c:pt>
                <c:pt idx="11">
                  <c:v>573</c:v>
                </c:pt>
                <c:pt idx="12">
                  <c:v>564</c:v>
                </c:pt>
                <c:pt idx="13">
                  <c:v>513</c:v>
                </c:pt>
                <c:pt idx="14">
                  <c:v>495</c:v>
                </c:pt>
                <c:pt idx="15">
                  <c:v>483</c:v>
                </c:pt>
                <c:pt idx="16">
                  <c:v>448</c:v>
                </c:pt>
                <c:pt idx="17">
                  <c:v>394</c:v>
                </c:pt>
                <c:pt idx="18">
                  <c:v>379</c:v>
                </c:pt>
                <c:pt idx="19">
                  <c:v>351</c:v>
                </c:pt>
                <c:pt idx="20">
                  <c:v>339</c:v>
                </c:pt>
                <c:pt idx="21">
                  <c:v>283</c:v>
                </c:pt>
                <c:pt idx="22">
                  <c:v>282</c:v>
                </c:pt>
                <c:pt idx="23">
                  <c:v>281</c:v>
                </c:pt>
                <c:pt idx="24">
                  <c:v>249</c:v>
                </c:pt>
                <c:pt idx="25">
                  <c:v>233</c:v>
                </c:pt>
                <c:pt idx="26">
                  <c:v>228</c:v>
                </c:pt>
                <c:pt idx="27">
                  <c:v>214</c:v>
                </c:pt>
                <c:pt idx="28">
                  <c:v>170</c:v>
                </c:pt>
                <c:pt idx="29">
                  <c:v>156</c:v>
                </c:pt>
                <c:pt idx="30">
                  <c:v>144</c:v>
                </c:pt>
                <c:pt idx="31">
                  <c:v>141</c:v>
                </c:pt>
                <c:pt idx="32">
                  <c:v>134</c:v>
                </c:pt>
                <c:pt idx="33">
                  <c:v>132</c:v>
                </c:pt>
                <c:pt idx="34">
                  <c:v>129</c:v>
                </c:pt>
                <c:pt idx="35">
                  <c:v>112</c:v>
                </c:pt>
                <c:pt idx="36">
                  <c:v>96</c:v>
                </c:pt>
                <c:pt idx="37">
                  <c:v>95</c:v>
                </c:pt>
                <c:pt idx="38">
                  <c:v>77</c:v>
                </c:pt>
                <c:pt idx="39">
                  <c:v>52</c:v>
                </c:pt>
                <c:pt idx="40">
                  <c:v>51</c:v>
                </c:pt>
                <c:pt idx="41">
                  <c:v>31</c:v>
                </c:pt>
                <c:pt idx="42">
                  <c:v>12</c:v>
                </c:pt>
                <c:pt idx="4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21-D748-8AEF-4F9DDF310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8009263"/>
        <c:axId val="1017881359"/>
      </c:barChart>
      <c:lineChart>
        <c:grouping val="standard"/>
        <c:varyColors val="0"/>
        <c:ser>
          <c:idx val="1"/>
          <c:order val="1"/>
          <c:tx>
            <c:strRef>
              <c:f>Ortsverteilung!$C$1</c:f>
              <c:strCache>
                <c:ptCount val="1"/>
                <c:pt idx="0">
                  <c:v>Rating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Ortsverteilung!$A$2:$A$45</c:f>
              <c:strCache>
                <c:ptCount val="44"/>
                <c:pt idx="0">
                  <c:v>California</c:v>
                </c:pt>
                <c:pt idx="1">
                  <c:v>Florida</c:v>
                </c:pt>
                <c:pt idx="2">
                  <c:v>Texas</c:v>
                </c:pt>
                <c:pt idx="3">
                  <c:v>Ohio</c:v>
                </c:pt>
                <c:pt idx="4">
                  <c:v>Georgia</c:v>
                </c:pt>
                <c:pt idx="5">
                  <c:v>New York</c:v>
                </c:pt>
                <c:pt idx="6">
                  <c:v>North Carolina</c:v>
                </c:pt>
                <c:pt idx="7">
                  <c:v>Illinois</c:v>
                </c:pt>
                <c:pt idx="8">
                  <c:v>Massachusetts</c:v>
                </c:pt>
                <c:pt idx="9">
                  <c:v>Maryland</c:v>
                </c:pt>
                <c:pt idx="10">
                  <c:v>New Hampshire</c:v>
                </c:pt>
                <c:pt idx="11">
                  <c:v>Arizona</c:v>
                </c:pt>
                <c:pt idx="12">
                  <c:v>Washington</c:v>
                </c:pt>
                <c:pt idx="13">
                  <c:v>Virginia</c:v>
                </c:pt>
                <c:pt idx="14">
                  <c:v>New Jersey</c:v>
                </c:pt>
                <c:pt idx="15">
                  <c:v>Pennsylvania</c:v>
                </c:pt>
                <c:pt idx="16">
                  <c:v>Michigan</c:v>
                </c:pt>
                <c:pt idx="17">
                  <c:v>Oregon</c:v>
                </c:pt>
                <c:pt idx="18">
                  <c:v>Tennessee</c:v>
                </c:pt>
                <c:pt idx="19">
                  <c:v>Alabama</c:v>
                </c:pt>
                <c:pt idx="20">
                  <c:v>South Carolina</c:v>
                </c:pt>
                <c:pt idx="21">
                  <c:v>Indiana</c:v>
                </c:pt>
                <c:pt idx="22">
                  <c:v>Missouri</c:v>
                </c:pt>
                <c:pt idx="23">
                  <c:v>Nevada</c:v>
                </c:pt>
                <c:pt idx="24">
                  <c:v>Louisiana</c:v>
                </c:pt>
                <c:pt idx="25">
                  <c:v>Mississippi</c:v>
                </c:pt>
                <c:pt idx="26">
                  <c:v>Minnesota</c:v>
                </c:pt>
                <c:pt idx="27">
                  <c:v>Arkansas</c:v>
                </c:pt>
                <c:pt idx="28">
                  <c:v>Maine</c:v>
                </c:pt>
                <c:pt idx="29">
                  <c:v>Kentucky</c:v>
                </c:pt>
                <c:pt idx="30">
                  <c:v>Connecticut</c:v>
                </c:pt>
                <c:pt idx="31">
                  <c:v>Wisconsin</c:v>
                </c:pt>
                <c:pt idx="32">
                  <c:v>Utah</c:v>
                </c:pt>
                <c:pt idx="33">
                  <c:v>Idaho</c:v>
                </c:pt>
                <c:pt idx="34">
                  <c:v>Colorado</c:v>
                </c:pt>
                <c:pt idx="35">
                  <c:v>New Mexico</c:v>
                </c:pt>
                <c:pt idx="36">
                  <c:v>Iowa</c:v>
                </c:pt>
                <c:pt idx="37">
                  <c:v>Oklahoma</c:v>
                </c:pt>
                <c:pt idx="38">
                  <c:v>West Virginia</c:v>
                </c:pt>
                <c:pt idx="39">
                  <c:v>Nebraska</c:v>
                </c:pt>
                <c:pt idx="40">
                  <c:v>Kansas</c:v>
                </c:pt>
                <c:pt idx="41">
                  <c:v>Delaware</c:v>
                </c:pt>
                <c:pt idx="42">
                  <c:v>South Dakota</c:v>
                </c:pt>
                <c:pt idx="43">
                  <c:v>Wyoming</c:v>
                </c:pt>
              </c:strCache>
            </c:strRef>
          </c:cat>
          <c:val>
            <c:numRef>
              <c:f>Ortsverteilung!$C$2:$C$45</c:f>
              <c:numCache>
                <c:formatCode>0.00</c:formatCode>
                <c:ptCount val="44"/>
                <c:pt idx="0">
                  <c:v>3.4128508124076808</c:v>
                </c:pt>
                <c:pt idx="1">
                  <c:v>4.0110608345902463</c:v>
                </c:pt>
                <c:pt idx="2">
                  <c:v>4.0462028677642063</c:v>
                </c:pt>
                <c:pt idx="3">
                  <c:v>4.1097359735973598</c:v>
                </c:pt>
                <c:pt idx="4">
                  <c:v>4.2420091324200913</c:v>
                </c:pt>
                <c:pt idx="5">
                  <c:v>3.4994954591321896</c:v>
                </c:pt>
                <c:pt idx="6">
                  <c:v>4.2373068432671079</c:v>
                </c:pt>
                <c:pt idx="7">
                  <c:v>4.340243902439024</c:v>
                </c:pt>
                <c:pt idx="8">
                  <c:v>4.4404015056461734</c:v>
                </c:pt>
                <c:pt idx="9">
                  <c:v>4.1075862068965519</c:v>
                </c:pt>
                <c:pt idx="10">
                  <c:v>4.3480176211453747</c:v>
                </c:pt>
                <c:pt idx="11">
                  <c:v>4.0401396160558463</c:v>
                </c:pt>
                <c:pt idx="12">
                  <c:v>3.4485815602836878</c:v>
                </c:pt>
                <c:pt idx="13">
                  <c:v>3.5458089668615984</c:v>
                </c:pt>
                <c:pt idx="14">
                  <c:v>4.042424242424242</c:v>
                </c:pt>
                <c:pt idx="15">
                  <c:v>4.0766045548654244</c:v>
                </c:pt>
                <c:pt idx="16">
                  <c:v>4.1897321428571432</c:v>
                </c:pt>
                <c:pt idx="17">
                  <c:v>4.1751269035532994</c:v>
                </c:pt>
                <c:pt idx="18">
                  <c:v>3.2137203166226911</c:v>
                </c:pt>
                <c:pt idx="19">
                  <c:v>3.6210826210826212</c:v>
                </c:pt>
                <c:pt idx="20">
                  <c:v>4.5722713864306783</c:v>
                </c:pt>
                <c:pt idx="21">
                  <c:v>3.9540636042402828</c:v>
                </c:pt>
                <c:pt idx="22">
                  <c:v>3.9397163120567376</c:v>
                </c:pt>
                <c:pt idx="23">
                  <c:v>3.3558718861209966</c:v>
                </c:pt>
                <c:pt idx="24">
                  <c:v>3.7630522088353415</c:v>
                </c:pt>
                <c:pt idx="25">
                  <c:v>4.2360515021459229</c:v>
                </c:pt>
                <c:pt idx="26">
                  <c:v>3.557017543859649</c:v>
                </c:pt>
                <c:pt idx="27">
                  <c:v>4.0981308411214954</c:v>
                </c:pt>
                <c:pt idx="28">
                  <c:v>3.7529411764705882</c:v>
                </c:pt>
                <c:pt idx="29">
                  <c:v>3.2884615384615383</c:v>
                </c:pt>
                <c:pt idx="30">
                  <c:v>4.4444444444444446</c:v>
                </c:pt>
                <c:pt idx="31">
                  <c:v>3.354609929078014</c:v>
                </c:pt>
                <c:pt idx="32">
                  <c:v>3.9776119402985075</c:v>
                </c:pt>
                <c:pt idx="33">
                  <c:v>4.3106060606060606</c:v>
                </c:pt>
                <c:pt idx="34">
                  <c:v>3.635658914728682</c:v>
                </c:pt>
                <c:pt idx="35">
                  <c:v>3.1517857142857144</c:v>
                </c:pt>
                <c:pt idx="36">
                  <c:v>4.729166666666667</c:v>
                </c:pt>
                <c:pt idx="37">
                  <c:v>3.8</c:v>
                </c:pt>
                <c:pt idx="38">
                  <c:v>4.6883116883116882</c:v>
                </c:pt>
                <c:pt idx="39">
                  <c:v>4.1923076923076925</c:v>
                </c:pt>
                <c:pt idx="40">
                  <c:v>4.0588235294117645</c:v>
                </c:pt>
                <c:pt idx="41">
                  <c:v>3.2580645161290325</c:v>
                </c:pt>
                <c:pt idx="42">
                  <c:v>3</c:v>
                </c:pt>
                <c:pt idx="4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21-D748-8AEF-4F9DDF310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5867967"/>
        <c:axId val="1435653967"/>
      </c:lineChart>
      <c:catAx>
        <c:axId val="1168009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017881359"/>
        <c:crosses val="autoZero"/>
        <c:auto val="1"/>
        <c:lblAlgn val="ctr"/>
        <c:lblOffset val="100"/>
        <c:noMultiLvlLbl val="0"/>
      </c:catAx>
      <c:valAx>
        <c:axId val="101788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68009263"/>
        <c:crosses val="autoZero"/>
        <c:crossBetween val="between"/>
      </c:valAx>
      <c:valAx>
        <c:axId val="1435653967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435867967"/>
        <c:crosses val="max"/>
        <c:crossBetween val="between"/>
      </c:valAx>
      <c:catAx>
        <c:axId val="143586796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435653967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Themenverteilung</a:t>
            </a:r>
            <a:r>
              <a:rPr lang="de-DE" baseline="0"/>
              <a:t> 2019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Themenverteilung!$A$6</c:f>
              <c:strCache>
                <c:ptCount val="1"/>
                <c:pt idx="0">
                  <c:v>Thema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Themenverteilung!$A$7:$A$12</c:f>
              <c:numCache>
                <c:formatCode>General</c:formatCode>
                <c:ptCount val="6"/>
                <c:pt idx="0">
                  <c:v>3</c:v>
                </c:pt>
                <c:pt idx="1">
                  <c:v>0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F3-B742-B12F-B3729845EDB1}"/>
            </c:ext>
          </c:extLst>
        </c:ser>
        <c:ser>
          <c:idx val="1"/>
          <c:order val="1"/>
          <c:tx>
            <c:strRef>
              <c:f>Themenverteilung!$B$6</c:f>
              <c:strCache>
                <c:ptCount val="1"/>
                <c:pt idx="0">
                  <c:v>Anzahl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Themenverteilung!$B$7:$B$12</c:f>
              <c:numCache>
                <c:formatCode>General</c:formatCode>
                <c:ptCount val="6"/>
                <c:pt idx="0">
                  <c:v>7445</c:v>
                </c:pt>
                <c:pt idx="1">
                  <c:v>3801</c:v>
                </c:pt>
                <c:pt idx="2">
                  <c:v>3628</c:v>
                </c:pt>
                <c:pt idx="3">
                  <c:v>3418</c:v>
                </c:pt>
                <c:pt idx="4">
                  <c:v>3089</c:v>
                </c:pt>
                <c:pt idx="5">
                  <c:v>2531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F3-B742-B12F-B3729845E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93299919"/>
        <c:axId val="1303446863"/>
      </c:barChart>
      <c:lineChart>
        <c:grouping val="standard"/>
        <c:varyColors val="0"/>
        <c:ser>
          <c:idx val="2"/>
          <c:order val="2"/>
          <c:tx>
            <c:strRef>
              <c:f>Themenverteilung!$C$6</c:f>
              <c:strCache>
                <c:ptCount val="1"/>
                <c:pt idx="0">
                  <c:v>Rating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Themenverteilung!$C$7:$C$12</c:f>
              <c:numCache>
                <c:formatCode>0.00</c:formatCode>
                <c:ptCount val="6"/>
                <c:pt idx="0">
                  <c:v>3.1038280725319005</c:v>
                </c:pt>
                <c:pt idx="1">
                  <c:v>4.2733491186529857</c:v>
                </c:pt>
                <c:pt idx="2">
                  <c:v>3.5143329658213891</c:v>
                </c:pt>
                <c:pt idx="3">
                  <c:v>4.8393797542422465</c:v>
                </c:pt>
                <c:pt idx="4">
                  <c:v>4.5263839430236326</c:v>
                </c:pt>
                <c:pt idx="5">
                  <c:v>4.4950612406163568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F3-B742-B12F-B3729845E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1227775"/>
        <c:axId val="1921225295"/>
      </c:lineChart>
      <c:catAx>
        <c:axId val="16932999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303446863"/>
        <c:crosses val="autoZero"/>
        <c:auto val="1"/>
        <c:lblAlgn val="ctr"/>
        <c:lblOffset val="100"/>
        <c:noMultiLvlLbl val="0"/>
      </c:catAx>
      <c:valAx>
        <c:axId val="1303446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693299919"/>
        <c:crosses val="autoZero"/>
        <c:crossBetween val="between"/>
      </c:valAx>
      <c:valAx>
        <c:axId val="1921225295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921227775"/>
        <c:crosses val="max"/>
        <c:crossBetween val="between"/>
      </c:valAx>
      <c:catAx>
        <c:axId val="1921227775"/>
        <c:scaling>
          <c:orientation val="minMax"/>
        </c:scaling>
        <c:delete val="1"/>
        <c:axPos val="b"/>
        <c:majorTickMark val="out"/>
        <c:minorTickMark val="none"/>
        <c:tickLblPos val="nextTo"/>
        <c:crossAx val="192122529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3537719847867471E-2"/>
          <c:y val="8.6647288247847523E-2"/>
          <c:w val="0.95531174796764196"/>
          <c:h val="0.6411581058208845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Ortsanalyse!$A$2:$A$44</c:f>
              <c:strCache>
                <c:ptCount val="43"/>
                <c:pt idx="0">
                  <c:v>California</c:v>
                </c:pt>
                <c:pt idx="1">
                  <c:v>Florida</c:v>
                </c:pt>
                <c:pt idx="2">
                  <c:v>Texas</c:v>
                </c:pt>
                <c:pt idx="3">
                  <c:v>New York</c:v>
                </c:pt>
                <c:pt idx="4">
                  <c:v>Ohio</c:v>
                </c:pt>
                <c:pt idx="5">
                  <c:v>North Carolina</c:v>
                </c:pt>
                <c:pt idx="6">
                  <c:v>Georgia</c:v>
                </c:pt>
                <c:pt idx="7">
                  <c:v>Maryland</c:v>
                </c:pt>
                <c:pt idx="8">
                  <c:v>Washington</c:v>
                </c:pt>
                <c:pt idx="9">
                  <c:v>Illinois</c:v>
                </c:pt>
                <c:pt idx="10">
                  <c:v>Massachusetts</c:v>
                </c:pt>
                <c:pt idx="11">
                  <c:v>Arizona</c:v>
                </c:pt>
                <c:pt idx="12">
                  <c:v>New Hampshire</c:v>
                </c:pt>
                <c:pt idx="13">
                  <c:v>Virginia</c:v>
                </c:pt>
                <c:pt idx="14">
                  <c:v>Pennsylvania</c:v>
                </c:pt>
                <c:pt idx="15">
                  <c:v>New Jersey</c:v>
                </c:pt>
                <c:pt idx="16">
                  <c:v>Tennessee</c:v>
                </c:pt>
                <c:pt idx="17">
                  <c:v>Alabama</c:v>
                </c:pt>
                <c:pt idx="18">
                  <c:v>Michigan</c:v>
                </c:pt>
                <c:pt idx="19">
                  <c:v>Oregon</c:v>
                </c:pt>
                <c:pt idx="20">
                  <c:v>Indiana</c:v>
                </c:pt>
                <c:pt idx="21">
                  <c:v>Nevada</c:v>
                </c:pt>
                <c:pt idx="22">
                  <c:v>Missouri</c:v>
                </c:pt>
                <c:pt idx="23">
                  <c:v>Louisiana</c:v>
                </c:pt>
                <c:pt idx="24">
                  <c:v>South Carolina</c:v>
                </c:pt>
                <c:pt idx="25">
                  <c:v>Maine</c:v>
                </c:pt>
                <c:pt idx="26">
                  <c:v>Wisconsin</c:v>
                </c:pt>
                <c:pt idx="27">
                  <c:v>Minnesota</c:v>
                </c:pt>
                <c:pt idx="28">
                  <c:v>Mississippi</c:v>
                </c:pt>
                <c:pt idx="29">
                  <c:v>Arkansas</c:v>
                </c:pt>
                <c:pt idx="30">
                  <c:v>Idaho</c:v>
                </c:pt>
                <c:pt idx="31">
                  <c:v>Colorado</c:v>
                </c:pt>
                <c:pt idx="32">
                  <c:v>Kentucky</c:v>
                </c:pt>
                <c:pt idx="33">
                  <c:v>New Mexico</c:v>
                </c:pt>
                <c:pt idx="34">
                  <c:v>Utah</c:v>
                </c:pt>
                <c:pt idx="35">
                  <c:v>Connecticut</c:v>
                </c:pt>
                <c:pt idx="36">
                  <c:v>Kansas</c:v>
                </c:pt>
                <c:pt idx="37">
                  <c:v>Oklahoma</c:v>
                </c:pt>
                <c:pt idx="38">
                  <c:v>Iowa</c:v>
                </c:pt>
                <c:pt idx="39">
                  <c:v>Delaware</c:v>
                </c:pt>
                <c:pt idx="40">
                  <c:v>Nebraska</c:v>
                </c:pt>
                <c:pt idx="41">
                  <c:v>West Virginia</c:v>
                </c:pt>
                <c:pt idx="42">
                  <c:v>South Dakota</c:v>
                </c:pt>
              </c:strCache>
            </c:strRef>
          </c:cat>
          <c:val>
            <c:numRef>
              <c:f>Ortsanalyse!$B$2:$B$44</c:f>
              <c:numCache>
                <c:formatCode>General</c:formatCode>
                <c:ptCount val="43"/>
                <c:pt idx="0">
                  <c:v>1077</c:v>
                </c:pt>
                <c:pt idx="1">
                  <c:v>654</c:v>
                </c:pt>
                <c:pt idx="2">
                  <c:v>572</c:v>
                </c:pt>
                <c:pt idx="3">
                  <c:v>377</c:v>
                </c:pt>
                <c:pt idx="4">
                  <c:v>368</c:v>
                </c:pt>
                <c:pt idx="5">
                  <c:v>282</c:v>
                </c:pt>
                <c:pt idx="6">
                  <c:v>276</c:v>
                </c:pt>
                <c:pt idx="7">
                  <c:v>232</c:v>
                </c:pt>
                <c:pt idx="8">
                  <c:v>231</c:v>
                </c:pt>
                <c:pt idx="9">
                  <c:v>225</c:v>
                </c:pt>
                <c:pt idx="10">
                  <c:v>197</c:v>
                </c:pt>
                <c:pt idx="11">
                  <c:v>192</c:v>
                </c:pt>
                <c:pt idx="12">
                  <c:v>181</c:v>
                </c:pt>
                <c:pt idx="13">
                  <c:v>177</c:v>
                </c:pt>
                <c:pt idx="14">
                  <c:v>165</c:v>
                </c:pt>
                <c:pt idx="15">
                  <c:v>160</c:v>
                </c:pt>
                <c:pt idx="16">
                  <c:v>152</c:v>
                </c:pt>
                <c:pt idx="17">
                  <c:v>140</c:v>
                </c:pt>
                <c:pt idx="18">
                  <c:v>139</c:v>
                </c:pt>
                <c:pt idx="19">
                  <c:v>133</c:v>
                </c:pt>
                <c:pt idx="20">
                  <c:v>118</c:v>
                </c:pt>
                <c:pt idx="21">
                  <c:v>114</c:v>
                </c:pt>
                <c:pt idx="22">
                  <c:v>103</c:v>
                </c:pt>
                <c:pt idx="23">
                  <c:v>89</c:v>
                </c:pt>
                <c:pt idx="24">
                  <c:v>84</c:v>
                </c:pt>
                <c:pt idx="25">
                  <c:v>76</c:v>
                </c:pt>
                <c:pt idx="26">
                  <c:v>74</c:v>
                </c:pt>
                <c:pt idx="27">
                  <c:v>68</c:v>
                </c:pt>
                <c:pt idx="28">
                  <c:v>63</c:v>
                </c:pt>
                <c:pt idx="29">
                  <c:v>59</c:v>
                </c:pt>
                <c:pt idx="30">
                  <c:v>54</c:v>
                </c:pt>
                <c:pt idx="31">
                  <c:v>51</c:v>
                </c:pt>
                <c:pt idx="32">
                  <c:v>50</c:v>
                </c:pt>
                <c:pt idx="33">
                  <c:v>46</c:v>
                </c:pt>
                <c:pt idx="34">
                  <c:v>40</c:v>
                </c:pt>
                <c:pt idx="35">
                  <c:v>35</c:v>
                </c:pt>
                <c:pt idx="36">
                  <c:v>32</c:v>
                </c:pt>
                <c:pt idx="37">
                  <c:v>27</c:v>
                </c:pt>
                <c:pt idx="38">
                  <c:v>25</c:v>
                </c:pt>
                <c:pt idx="39">
                  <c:v>17</c:v>
                </c:pt>
                <c:pt idx="40">
                  <c:v>17</c:v>
                </c:pt>
                <c:pt idx="41">
                  <c:v>14</c:v>
                </c:pt>
                <c:pt idx="4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1C-8B47-9C3E-5B07B231A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3968319"/>
        <c:axId val="1181825295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Ortsanalyse!$A$2:$A$44</c:f>
              <c:strCache>
                <c:ptCount val="43"/>
                <c:pt idx="0">
                  <c:v>California</c:v>
                </c:pt>
                <c:pt idx="1">
                  <c:v>Florida</c:v>
                </c:pt>
                <c:pt idx="2">
                  <c:v>Texas</c:v>
                </c:pt>
                <c:pt idx="3">
                  <c:v>New York</c:v>
                </c:pt>
                <c:pt idx="4">
                  <c:v>Ohio</c:v>
                </c:pt>
                <c:pt idx="5">
                  <c:v>North Carolina</c:v>
                </c:pt>
                <c:pt idx="6">
                  <c:v>Georgia</c:v>
                </c:pt>
                <c:pt idx="7">
                  <c:v>Maryland</c:v>
                </c:pt>
                <c:pt idx="8">
                  <c:v>Washington</c:v>
                </c:pt>
                <c:pt idx="9">
                  <c:v>Illinois</c:v>
                </c:pt>
                <c:pt idx="10">
                  <c:v>Massachusetts</c:v>
                </c:pt>
                <c:pt idx="11">
                  <c:v>Arizona</c:v>
                </c:pt>
                <c:pt idx="12">
                  <c:v>New Hampshire</c:v>
                </c:pt>
                <c:pt idx="13">
                  <c:v>Virginia</c:v>
                </c:pt>
                <c:pt idx="14">
                  <c:v>Pennsylvania</c:v>
                </c:pt>
                <c:pt idx="15">
                  <c:v>New Jersey</c:v>
                </c:pt>
                <c:pt idx="16">
                  <c:v>Tennessee</c:v>
                </c:pt>
                <c:pt idx="17">
                  <c:v>Alabama</c:v>
                </c:pt>
                <c:pt idx="18">
                  <c:v>Michigan</c:v>
                </c:pt>
                <c:pt idx="19">
                  <c:v>Oregon</c:v>
                </c:pt>
                <c:pt idx="20">
                  <c:v>Indiana</c:v>
                </c:pt>
                <c:pt idx="21">
                  <c:v>Nevada</c:v>
                </c:pt>
                <c:pt idx="22">
                  <c:v>Missouri</c:v>
                </c:pt>
                <c:pt idx="23">
                  <c:v>Louisiana</c:v>
                </c:pt>
                <c:pt idx="24">
                  <c:v>South Carolina</c:v>
                </c:pt>
                <c:pt idx="25">
                  <c:v>Maine</c:v>
                </c:pt>
                <c:pt idx="26">
                  <c:v>Wisconsin</c:v>
                </c:pt>
                <c:pt idx="27">
                  <c:v>Minnesota</c:v>
                </c:pt>
                <c:pt idx="28">
                  <c:v>Mississippi</c:v>
                </c:pt>
                <c:pt idx="29">
                  <c:v>Arkansas</c:v>
                </c:pt>
                <c:pt idx="30">
                  <c:v>Idaho</c:v>
                </c:pt>
                <c:pt idx="31">
                  <c:v>Colorado</c:v>
                </c:pt>
                <c:pt idx="32">
                  <c:v>Kentucky</c:v>
                </c:pt>
                <c:pt idx="33">
                  <c:v>New Mexico</c:v>
                </c:pt>
                <c:pt idx="34">
                  <c:v>Utah</c:v>
                </c:pt>
                <c:pt idx="35">
                  <c:v>Connecticut</c:v>
                </c:pt>
                <c:pt idx="36">
                  <c:v>Kansas</c:v>
                </c:pt>
                <c:pt idx="37">
                  <c:v>Oklahoma</c:v>
                </c:pt>
                <c:pt idx="38">
                  <c:v>Iowa</c:v>
                </c:pt>
                <c:pt idx="39">
                  <c:v>Delaware</c:v>
                </c:pt>
                <c:pt idx="40">
                  <c:v>Nebraska</c:v>
                </c:pt>
                <c:pt idx="41">
                  <c:v>West Virginia</c:v>
                </c:pt>
                <c:pt idx="42">
                  <c:v>South Dakota</c:v>
                </c:pt>
              </c:strCache>
            </c:strRef>
          </c:cat>
          <c:val>
            <c:numRef>
              <c:f>Ortsanalyse!$C$2:$C$44</c:f>
              <c:numCache>
                <c:formatCode>0.00</c:formatCode>
                <c:ptCount val="43"/>
                <c:pt idx="0">
                  <c:v>2.7715877437325904</c:v>
                </c:pt>
                <c:pt idx="1">
                  <c:v>3.1773700305810397</c:v>
                </c:pt>
                <c:pt idx="2">
                  <c:v>3.2517482517482517</c:v>
                </c:pt>
                <c:pt idx="3">
                  <c:v>2.5888594164456236</c:v>
                </c:pt>
                <c:pt idx="4">
                  <c:v>3.2554347826086958</c:v>
                </c:pt>
                <c:pt idx="5">
                  <c:v>3.4822695035460991</c:v>
                </c:pt>
                <c:pt idx="6">
                  <c:v>3.3333333333333335</c:v>
                </c:pt>
                <c:pt idx="7">
                  <c:v>3.0905172413793105</c:v>
                </c:pt>
                <c:pt idx="8">
                  <c:v>2.8614718614718613</c:v>
                </c:pt>
                <c:pt idx="9">
                  <c:v>3.6933333333333334</c:v>
                </c:pt>
                <c:pt idx="10">
                  <c:v>3.7106598984771573</c:v>
                </c:pt>
                <c:pt idx="11">
                  <c:v>3.53125</c:v>
                </c:pt>
                <c:pt idx="12">
                  <c:v>3.6574585635359118</c:v>
                </c:pt>
                <c:pt idx="13">
                  <c:v>2.5649717514124295</c:v>
                </c:pt>
                <c:pt idx="14">
                  <c:v>3.290909090909091</c:v>
                </c:pt>
                <c:pt idx="15">
                  <c:v>3.1187499999999999</c:v>
                </c:pt>
                <c:pt idx="16">
                  <c:v>2.3947368421052633</c:v>
                </c:pt>
                <c:pt idx="17">
                  <c:v>2.58</c:v>
                </c:pt>
                <c:pt idx="18">
                  <c:v>3.4388489208633093</c:v>
                </c:pt>
                <c:pt idx="19">
                  <c:v>3.6240601503759398</c:v>
                </c:pt>
                <c:pt idx="20">
                  <c:v>3.1949152542372881</c:v>
                </c:pt>
                <c:pt idx="21">
                  <c:v>2.5526315789473686</c:v>
                </c:pt>
                <c:pt idx="22">
                  <c:v>3.2524271844660193</c:v>
                </c:pt>
                <c:pt idx="23">
                  <c:v>2.7865168539325844</c:v>
                </c:pt>
                <c:pt idx="24">
                  <c:v>4.25</c:v>
                </c:pt>
                <c:pt idx="25">
                  <c:v>3.1578947368421053</c:v>
                </c:pt>
                <c:pt idx="26">
                  <c:v>2.7297297297297298</c:v>
                </c:pt>
                <c:pt idx="27">
                  <c:v>2.3676470588235294</c:v>
                </c:pt>
                <c:pt idx="28">
                  <c:v>3.2063492063492065</c:v>
                </c:pt>
                <c:pt idx="29">
                  <c:v>2.8983050847457625</c:v>
                </c:pt>
                <c:pt idx="30">
                  <c:v>4</c:v>
                </c:pt>
                <c:pt idx="31">
                  <c:v>3.1764705882352939</c:v>
                </c:pt>
                <c:pt idx="32">
                  <c:v>2.48</c:v>
                </c:pt>
                <c:pt idx="33">
                  <c:v>2.652173913043478</c:v>
                </c:pt>
                <c:pt idx="34">
                  <c:v>3.2</c:v>
                </c:pt>
                <c:pt idx="35">
                  <c:v>3.2571428571428571</c:v>
                </c:pt>
                <c:pt idx="36">
                  <c:v>3.71875</c:v>
                </c:pt>
                <c:pt idx="37">
                  <c:v>3.4074074074074074</c:v>
                </c:pt>
                <c:pt idx="38">
                  <c:v>4.4400000000000004</c:v>
                </c:pt>
                <c:pt idx="39">
                  <c:v>2.5882352941176472</c:v>
                </c:pt>
                <c:pt idx="40">
                  <c:v>3.5294117647058822</c:v>
                </c:pt>
                <c:pt idx="41">
                  <c:v>4.4285714285714288</c:v>
                </c:pt>
                <c:pt idx="4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1C-8B47-9C3E-5B07B231A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0167151"/>
        <c:axId val="1110160015"/>
      </c:lineChart>
      <c:catAx>
        <c:axId val="1173968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81825295"/>
        <c:crosses val="autoZero"/>
        <c:auto val="1"/>
        <c:lblAlgn val="ctr"/>
        <c:lblOffset val="100"/>
        <c:noMultiLvlLbl val="0"/>
      </c:catAx>
      <c:valAx>
        <c:axId val="1181825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73968319"/>
        <c:crosses val="autoZero"/>
        <c:crossBetween val="between"/>
      </c:valAx>
      <c:valAx>
        <c:axId val="1110160015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10167151"/>
        <c:crosses val="max"/>
        <c:crossBetween val="between"/>
      </c:valAx>
      <c:catAx>
        <c:axId val="1110167151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10160015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50"/>
      </a:pPr>
      <a:endParaRPr lang="de-DE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Thema</a:t>
            </a:r>
            <a:r>
              <a:rPr lang="de-DE" baseline="0"/>
              <a:t> Abholung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Tabelle2!$B$1</c:f>
              <c:strCache>
                <c:ptCount val="1"/>
                <c:pt idx="0">
                  <c:v>Anzahl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Tabelle2!$A$2:$A$7</c:f>
              <c:strCache>
                <c:ptCount val="6"/>
                <c:pt idx="0">
                  <c:v>Reperaturservice</c:v>
                </c:pt>
                <c:pt idx="1">
                  <c:v>Kommunikation</c:v>
                </c:pt>
                <c:pt idx="2">
                  <c:v>Problemlösungskompetenz</c:v>
                </c:pt>
                <c:pt idx="3">
                  <c:v>Autoabholung</c:v>
                </c:pt>
                <c:pt idx="4">
                  <c:v>Fehlerbehebung Reifen</c:v>
                </c:pt>
                <c:pt idx="5">
                  <c:v>Preisverhandlung</c:v>
                </c:pt>
              </c:strCache>
            </c:strRef>
          </c:cat>
          <c:val>
            <c:numRef>
              <c:f>Tabelle2!$B$2:$B$7</c:f>
              <c:numCache>
                <c:formatCode>General</c:formatCode>
                <c:ptCount val="6"/>
                <c:pt idx="0">
                  <c:v>1371</c:v>
                </c:pt>
                <c:pt idx="1">
                  <c:v>2003</c:v>
                </c:pt>
                <c:pt idx="2">
                  <c:v>1307</c:v>
                </c:pt>
                <c:pt idx="3">
                  <c:v>1918</c:v>
                </c:pt>
                <c:pt idx="4">
                  <c:v>1534</c:v>
                </c:pt>
                <c:pt idx="5">
                  <c:v>1855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6A-F542-BCD2-4D4F98F44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1808"/>
        <c:axId val="3337744"/>
      </c:barChart>
      <c:lineChart>
        <c:grouping val="standard"/>
        <c:varyColors val="0"/>
        <c:ser>
          <c:idx val="2"/>
          <c:order val="1"/>
          <c:tx>
            <c:strRef>
              <c:f>Tabelle2!$C$1</c:f>
              <c:strCache>
                <c:ptCount val="1"/>
                <c:pt idx="0">
                  <c:v>Rating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Tabelle2!$A$2:$A$7</c:f>
              <c:strCache>
                <c:ptCount val="6"/>
                <c:pt idx="0">
                  <c:v>Reperaturservice</c:v>
                </c:pt>
                <c:pt idx="1">
                  <c:v>Kommunikation</c:v>
                </c:pt>
                <c:pt idx="2">
                  <c:v>Problemlösungskompetenz</c:v>
                </c:pt>
                <c:pt idx="3">
                  <c:v>Autoabholung</c:v>
                </c:pt>
                <c:pt idx="4">
                  <c:v>Fehlerbehebung Reifen</c:v>
                </c:pt>
                <c:pt idx="5">
                  <c:v>Preisverhandlung</c:v>
                </c:pt>
              </c:strCache>
            </c:strRef>
          </c:cat>
          <c:val>
            <c:numRef>
              <c:f>Tabelle2!$C$2:$C$7</c:f>
              <c:numCache>
                <c:formatCode>0.00</c:formatCode>
                <c:ptCount val="6"/>
                <c:pt idx="0">
                  <c:v>3.0506822612085771</c:v>
                </c:pt>
                <c:pt idx="1">
                  <c:v>2.692402717726992</c:v>
                </c:pt>
                <c:pt idx="2">
                  <c:v>3.0271317829457365</c:v>
                </c:pt>
                <c:pt idx="3">
                  <c:v>3.3780645161290321</c:v>
                </c:pt>
                <c:pt idx="4">
                  <c:v>2.552006552006552</c:v>
                </c:pt>
                <c:pt idx="5">
                  <c:v>3.8967828418230561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6A-F542-BCD2-4D4F98F44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5059087"/>
        <c:axId val="1715050383"/>
      </c:lineChart>
      <c:catAx>
        <c:axId val="321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337744"/>
        <c:crosses val="autoZero"/>
        <c:auto val="1"/>
        <c:lblAlgn val="ctr"/>
        <c:lblOffset val="100"/>
        <c:noMultiLvlLbl val="0"/>
      </c:catAx>
      <c:valAx>
        <c:axId val="333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211808"/>
        <c:crosses val="autoZero"/>
        <c:crossBetween val="between"/>
      </c:valAx>
      <c:valAx>
        <c:axId val="1715050383"/>
        <c:scaling>
          <c:orientation val="minMax"/>
        </c:scaling>
        <c:delete val="0"/>
        <c:axPos val="r"/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15059087"/>
        <c:crosses val="max"/>
        <c:crossBetween val="between"/>
      </c:valAx>
      <c:catAx>
        <c:axId val="1715059087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150503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Scharpf</dc:creator>
  <cp:keywords/>
  <dc:description/>
  <cp:lastModifiedBy>Franziska Scharpf</cp:lastModifiedBy>
  <cp:revision>3</cp:revision>
  <dcterms:created xsi:type="dcterms:W3CDTF">2021-11-27T19:49:00Z</dcterms:created>
  <dcterms:modified xsi:type="dcterms:W3CDTF">2021-11-28T22:47:00Z</dcterms:modified>
</cp:coreProperties>
</file>